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sz w:val="24"/>
        </w:rPr>
      </w:pPr>
      <w:r>
        <w:rPr>
          <w:sz w:val="24"/>
        </w:rPr>
        <w:drawing>
          <wp:inline distT="0" distB="0" distL="0" distR="0">
            <wp:extent cx="2857500" cy="685800"/>
            <wp:effectExtent l="0" t="0" r="7620" b="0"/>
            <wp:docPr id="2" name="图片 2" descr="校徽镂空-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校徽镂空-0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857500" cy="685800"/>
                    </a:xfrm>
                    <a:prstGeom prst="rect">
                      <a:avLst/>
                    </a:prstGeom>
                    <a:noFill/>
                    <a:ln>
                      <a:noFill/>
                    </a:ln>
                  </pic:spPr>
                </pic:pic>
              </a:graphicData>
            </a:graphic>
          </wp:inline>
        </w:drawing>
      </w:r>
    </w:p>
    <w:p>
      <w:pPr>
        <w:spacing w:line="360" w:lineRule="auto"/>
        <w:rPr>
          <w:rFonts w:ascii="华文新魏" w:hAnsi="仿宋" w:eastAsia="华文新魏"/>
          <w:b/>
          <w:sz w:val="84"/>
          <w:szCs w:val="84"/>
        </w:rPr>
      </w:pPr>
    </w:p>
    <w:p>
      <w:pPr>
        <w:spacing w:line="360" w:lineRule="auto"/>
        <w:jc w:val="center"/>
        <w:rPr>
          <w:rFonts w:ascii="华文新魏" w:hAnsi="仿宋" w:eastAsia="华文新魏"/>
          <w:b/>
          <w:sz w:val="144"/>
          <w:szCs w:val="144"/>
        </w:rPr>
      </w:pPr>
      <w:r>
        <w:rPr>
          <w:rFonts w:hint="eastAsia" w:ascii="华文新魏" w:hAnsi="仿宋" w:eastAsia="华文新魏"/>
          <w:b/>
          <w:sz w:val="144"/>
          <w:szCs w:val="144"/>
        </w:rPr>
        <w:t>课程指南</w:t>
      </w:r>
    </w:p>
    <w:p>
      <w:pPr>
        <w:spacing w:line="360" w:lineRule="auto"/>
        <w:jc w:val="center"/>
        <w:rPr>
          <w:rFonts w:ascii="华文新魏" w:hAnsi="仿宋" w:eastAsia="华文新魏"/>
          <w:b/>
          <w:sz w:val="72"/>
          <w:szCs w:val="72"/>
        </w:rPr>
      </w:pPr>
      <w:r>
        <w:rPr>
          <w:rFonts w:hint="eastAsia" w:ascii="华文新魏" w:hAnsi="仿宋" w:eastAsia="华文新魏"/>
          <w:b/>
          <w:sz w:val="72"/>
          <w:szCs w:val="72"/>
        </w:rPr>
        <w:t>《医事法学》</w:t>
      </w:r>
    </w:p>
    <w:p>
      <w:pPr>
        <w:spacing w:line="360" w:lineRule="auto"/>
        <w:jc w:val="center"/>
        <w:rPr>
          <w:sz w:val="30"/>
        </w:rPr>
      </w:pPr>
      <w:r>
        <w:rPr>
          <w:rFonts w:hint="eastAsia" w:ascii="华文新魏" w:hAnsi="仿宋" w:eastAsia="华文新魏"/>
          <w:b/>
          <w:sz w:val="30"/>
          <w:szCs w:val="30"/>
        </w:rPr>
        <w:t>供临床医学5+3一体化[朱宪彝班]、临床医学</w:t>
      </w:r>
      <w:r>
        <w:rPr>
          <w:rFonts w:hint="eastAsia" w:ascii="华文新魏" w:hAnsi="仿宋" w:eastAsia="华文新魏"/>
          <w:b/>
          <w:sz w:val="30"/>
          <w:szCs w:val="30"/>
          <w:lang w:val="en-US" w:eastAsia="zh-CN"/>
        </w:rPr>
        <w:t>等</w:t>
      </w:r>
      <w:r>
        <w:rPr>
          <w:rFonts w:hint="eastAsia" w:ascii="华文新魏" w:hAnsi="仿宋" w:eastAsia="华文新魏"/>
          <w:b/>
          <w:sz w:val="30"/>
          <w:szCs w:val="30"/>
        </w:rPr>
        <w:t>专业学生使用</w:t>
      </w: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rPr>
          <w:rFonts w:ascii="黑体" w:hAnsi="黑体" w:eastAsia="黑体"/>
          <w:sz w:val="44"/>
          <w:szCs w:val="44"/>
        </w:rPr>
      </w:pPr>
    </w:p>
    <w:p>
      <w:pPr>
        <w:spacing w:line="360" w:lineRule="auto"/>
        <w:jc w:val="center"/>
        <w:rPr>
          <w:rFonts w:ascii="楷体" w:hAnsi="楷体" w:eastAsia="楷体"/>
          <w:b/>
          <w:sz w:val="44"/>
          <w:szCs w:val="44"/>
        </w:rPr>
      </w:pPr>
      <w:r>
        <w:rPr>
          <w:rFonts w:hint="eastAsia" w:ascii="楷体" w:hAnsi="楷体" w:eastAsia="楷体"/>
          <w:b/>
          <w:sz w:val="44"/>
          <w:szCs w:val="44"/>
        </w:rPr>
        <w:t>开课单位：医学人文</w:t>
      </w:r>
      <w:r>
        <w:rPr>
          <w:rFonts w:ascii="楷体" w:hAnsi="楷体" w:eastAsia="楷体"/>
          <w:b/>
          <w:sz w:val="44"/>
          <w:szCs w:val="44"/>
        </w:rPr>
        <w:t>学院</w:t>
      </w:r>
    </w:p>
    <w:p>
      <w:pPr>
        <w:spacing w:line="360" w:lineRule="auto"/>
        <w:jc w:val="center"/>
        <w:rPr>
          <w:rFonts w:ascii="楷体" w:hAnsi="楷体" w:eastAsia="楷体"/>
          <w:b/>
          <w:sz w:val="44"/>
          <w:szCs w:val="44"/>
        </w:rPr>
      </w:pPr>
      <w:r>
        <w:rPr>
          <w:rFonts w:hint="eastAsia" w:ascii="楷体" w:hAnsi="楷体" w:eastAsia="楷体"/>
          <w:b/>
          <w:sz w:val="44"/>
          <w:szCs w:val="44"/>
        </w:rPr>
        <w:t>二零二四年</w:t>
      </w:r>
    </w:p>
    <w:p>
      <w:pPr>
        <w:spacing w:line="360" w:lineRule="auto"/>
        <w:jc w:val="center"/>
        <w:rPr>
          <w:b/>
          <w:color w:val="0D0D0D"/>
          <w:sz w:val="28"/>
          <w:u w:val="single"/>
        </w:rPr>
        <w:sectPr>
          <w:headerReference r:id="rId4" w:type="first"/>
          <w:footerReference r:id="rId7" w:type="first"/>
          <w:headerReference r:id="rId3" w:type="default"/>
          <w:footerReference r:id="rId5" w:type="default"/>
          <w:footerReference r:id="rId6" w:type="even"/>
          <w:pgSz w:w="11906" w:h="16838"/>
          <w:pgMar w:top="1440" w:right="1797" w:bottom="1440" w:left="1797" w:header="851" w:footer="992" w:gutter="0"/>
          <w:cols w:space="720" w:num="1"/>
          <w:titlePg/>
          <w:docGrid w:type="lines" w:linePitch="312" w:charSpace="0"/>
        </w:sectPr>
      </w:pPr>
    </w:p>
    <w:p>
      <w:pPr>
        <w:spacing w:line="360" w:lineRule="auto"/>
        <w:jc w:val="center"/>
        <w:rPr>
          <w:b/>
          <w:color w:val="0D0D0D"/>
          <w:sz w:val="28"/>
        </w:rPr>
      </w:pPr>
      <w:r>
        <w:rPr>
          <w:rFonts w:hint="eastAsia"/>
          <w:b/>
          <w:color w:val="0D0D0D"/>
          <w:sz w:val="28"/>
          <w:u w:val="single"/>
        </w:rPr>
        <w:t>医事法学</w:t>
      </w:r>
      <w:r>
        <w:rPr>
          <w:rFonts w:hint="eastAsia"/>
          <w:b/>
          <w:color w:val="0D0D0D"/>
          <w:sz w:val="28"/>
        </w:rPr>
        <w:t>课 程 指 南</w:t>
      </w:r>
    </w:p>
    <w:p>
      <w:pPr>
        <w:spacing w:line="360" w:lineRule="auto"/>
        <w:ind w:firstLine="435"/>
        <w:rPr>
          <w:rFonts w:hint="eastAsia"/>
          <w:b/>
          <w:color w:val="0D0D0D"/>
          <w:szCs w:val="21"/>
        </w:rPr>
      </w:pPr>
    </w:p>
    <w:p>
      <w:pPr>
        <w:spacing w:line="360" w:lineRule="auto"/>
        <w:ind w:firstLine="435"/>
        <w:rPr>
          <w:color w:val="0D0D0D"/>
          <w:szCs w:val="21"/>
        </w:rPr>
      </w:pPr>
      <w:r>
        <w:rPr>
          <w:rFonts w:hint="eastAsia"/>
          <w:b/>
          <w:color w:val="0D0D0D"/>
          <w:szCs w:val="21"/>
        </w:rPr>
        <w:t>一、课程信息</w:t>
      </w:r>
      <w:r>
        <w:rPr>
          <w:b/>
          <w:color w:val="0D0D0D"/>
          <w:szCs w:val="21"/>
        </w:rPr>
        <w:tab/>
      </w:r>
      <w:r>
        <w:rPr>
          <w:rFonts w:hint="eastAsia"/>
          <w:b/>
          <w:color w:val="0D0D0D"/>
          <w:szCs w:val="21"/>
        </w:rPr>
        <w:t>课程编号：</w:t>
      </w:r>
      <w:r>
        <w:rPr>
          <w:rFonts w:hint="eastAsia"/>
          <w:bCs/>
          <w:color w:val="0D0D0D"/>
          <w:szCs w:val="21"/>
        </w:rPr>
        <w:t>Z2109005001</w:t>
      </w:r>
      <w:r>
        <w:rPr>
          <w:b/>
          <w:color w:val="0D0D0D"/>
          <w:szCs w:val="21"/>
        </w:rPr>
        <w:tab/>
      </w:r>
      <w:r>
        <w:rPr>
          <w:rFonts w:hint="eastAsia"/>
          <w:b/>
          <w:color w:val="0D0D0D"/>
          <w:szCs w:val="21"/>
        </w:rPr>
        <w:t>中文：</w:t>
      </w:r>
      <w:r>
        <w:rPr>
          <w:rFonts w:hint="eastAsia"/>
          <w:color w:val="0D0D0D"/>
          <w:szCs w:val="21"/>
        </w:rPr>
        <w:t>医事法学</w:t>
      </w:r>
    </w:p>
    <w:p>
      <w:pPr>
        <w:spacing w:line="360" w:lineRule="auto"/>
        <w:ind w:left="1665" w:firstLine="435"/>
        <w:rPr>
          <w:bCs/>
          <w:color w:val="0000FF"/>
          <w:szCs w:val="21"/>
        </w:rPr>
      </w:pPr>
      <w:r>
        <w:rPr>
          <w:rFonts w:hint="eastAsia"/>
          <w:b/>
          <w:color w:val="0D0D0D"/>
          <w:szCs w:val="21"/>
        </w:rPr>
        <w:t>英文：</w:t>
      </w:r>
      <w:r>
        <w:rPr>
          <w:rFonts w:hint="eastAsia"/>
          <w:bCs/>
          <w:color w:val="0D0D0D"/>
          <w:szCs w:val="21"/>
        </w:rPr>
        <w:t xml:space="preserve"> Medical Law</w:t>
      </w:r>
    </w:p>
    <w:p>
      <w:pPr>
        <w:spacing w:line="360" w:lineRule="auto"/>
        <w:rPr>
          <w:color w:val="0D0D0D"/>
          <w:szCs w:val="21"/>
        </w:rPr>
      </w:pPr>
      <w:r>
        <w:rPr>
          <w:rFonts w:hint="eastAsia"/>
          <w:b/>
          <w:color w:val="0D0D0D"/>
          <w:szCs w:val="21"/>
        </w:rPr>
        <w:t xml:space="preserve">    二、开课学院（系）、</w:t>
      </w:r>
      <w:r>
        <w:rPr>
          <w:rFonts w:hint="eastAsia"/>
          <w:b/>
          <w:color w:val="0D0D0D"/>
        </w:rPr>
        <w:t>系（教研室）：</w:t>
      </w:r>
      <w:r>
        <w:rPr>
          <w:rFonts w:hint="eastAsia"/>
          <w:color w:val="0D0D0D"/>
          <w:szCs w:val="21"/>
        </w:rPr>
        <w:t>医学人文学院医学伦理与法学系医学法学教研室</w:t>
      </w:r>
    </w:p>
    <w:p>
      <w:pPr>
        <w:spacing w:line="360" w:lineRule="auto"/>
        <w:rPr>
          <w:b/>
          <w:color w:val="0D0D0D"/>
        </w:rPr>
      </w:pPr>
      <w:r>
        <w:rPr>
          <w:rFonts w:hint="eastAsia"/>
          <w:b/>
          <w:color w:val="0D0D0D"/>
          <w:szCs w:val="21"/>
        </w:rPr>
        <w:t xml:space="preserve">    三、学时学分：</w:t>
      </w:r>
      <w:r>
        <w:rPr>
          <w:rFonts w:hint="eastAsia"/>
          <w:b/>
          <w:color w:val="0D0D0D"/>
        </w:rPr>
        <w:t>学分：1；总学时：</w:t>
      </w:r>
      <w:r>
        <w:rPr>
          <w:b/>
          <w:color w:val="0D0D0D"/>
        </w:rPr>
        <w:t>16</w:t>
      </w:r>
      <w:r>
        <w:rPr>
          <w:rFonts w:hint="eastAsia"/>
          <w:b/>
          <w:color w:val="0D0D0D"/>
        </w:rPr>
        <w:t>；理论学时：</w:t>
      </w:r>
      <w:r>
        <w:rPr>
          <w:b/>
          <w:color w:val="0D0D0D"/>
        </w:rPr>
        <w:t>16</w:t>
      </w:r>
      <w:r>
        <w:rPr>
          <w:rFonts w:hint="eastAsia"/>
          <w:b/>
          <w:color w:val="0D0D0D"/>
        </w:rPr>
        <w:t>；实验或实践学时：0；自主学习学时：0</w:t>
      </w:r>
    </w:p>
    <w:p>
      <w:pPr>
        <w:spacing w:line="360" w:lineRule="auto"/>
        <w:ind w:firstLine="420"/>
        <w:rPr>
          <w:color w:val="0D0D0D"/>
          <w:szCs w:val="21"/>
        </w:rPr>
      </w:pPr>
      <w:r>
        <w:rPr>
          <w:rFonts w:hint="eastAsia"/>
          <w:b/>
          <w:color w:val="0D0D0D"/>
          <w:szCs w:val="21"/>
        </w:rPr>
        <w:t>四、</w:t>
      </w:r>
      <w:r>
        <w:rPr>
          <w:rFonts w:hint="eastAsia"/>
          <w:b/>
          <w:color w:val="0D0D0D"/>
        </w:rPr>
        <w:t>授课对象：临床医学（5+3一体化朱宪彝班）、临床医学、麻醉学、眼视光医学、医学技术类、医学影像学</w:t>
      </w:r>
    </w:p>
    <w:p>
      <w:pPr>
        <w:spacing w:line="360" w:lineRule="auto"/>
        <w:rPr>
          <w:b/>
          <w:color w:val="0D0D0D"/>
          <w:szCs w:val="21"/>
        </w:rPr>
      </w:pPr>
      <w:r>
        <w:rPr>
          <w:rFonts w:hint="eastAsia"/>
          <w:b/>
          <w:color w:val="0D0D0D"/>
          <w:szCs w:val="21"/>
        </w:rPr>
        <w:t xml:space="preserve">    五、课程基本内容简介</w:t>
      </w:r>
    </w:p>
    <w:p>
      <w:pPr>
        <w:spacing w:line="360" w:lineRule="auto"/>
        <w:rPr>
          <w:bCs/>
          <w:szCs w:val="21"/>
        </w:rPr>
      </w:pPr>
      <w:r>
        <w:rPr>
          <w:rFonts w:hint="eastAsia"/>
          <w:bCs/>
          <w:color w:val="0D0D0D"/>
          <w:szCs w:val="21"/>
        </w:rPr>
        <w:t>目前国家和地方都在探索预防和解决医疗纠纷的方法，医学专业学生，对医疗实践中产生的法律制度、法律纠纷缺乏基本的感性认识，而增进医患沟通、加强医学生的法学素质教育成为普遍认可的途径。医事法学是以医事法为研究对象的一门新兴的部门法学，具有显著的针对性和交叉性，其作为一门法学课程在医学院校开设具有重要的现实意义。因此，医事法学应作为是医学教育课程体系的重要组成部分。本课程以法学的视角对医疗现象展开讲解，目标是帮助学生认识和解决临床医疗中的法律问题。通过学习，学生可以明晰医患关系的法律属性，了解就医患双方的权利、义务和责任，掌握预防和解决医疗法律纠纷的方法和途径。开设医事法学课程可以指导医学生在未来的执业活动中依法行医，避免医疗纠纷的发生，因此是培养合格医生、健全医生的时代需要。</w:t>
      </w:r>
    </w:p>
    <w:p>
      <w:pPr>
        <w:spacing w:line="360" w:lineRule="auto"/>
        <w:rPr>
          <w:b/>
          <w:color w:val="0000FF"/>
          <w:szCs w:val="21"/>
        </w:rPr>
      </w:pPr>
      <w:r>
        <w:rPr>
          <w:rFonts w:hint="eastAsia"/>
          <w:b/>
          <w:szCs w:val="21"/>
        </w:rPr>
        <w:t xml:space="preserve">  六、</w:t>
      </w:r>
      <w:r>
        <w:rPr>
          <w:rFonts w:hint="eastAsia"/>
          <w:b/>
        </w:rPr>
        <w:t>教学目标</w:t>
      </w:r>
    </w:p>
    <w:p>
      <w:pPr>
        <w:spacing w:line="360" w:lineRule="auto"/>
        <w:ind w:firstLine="420"/>
        <w:rPr>
          <w:b/>
          <w:color w:val="0D0D0D"/>
          <w:szCs w:val="21"/>
        </w:rPr>
      </w:pPr>
      <w:r>
        <w:rPr>
          <w:rFonts w:hint="eastAsia"/>
          <w:b/>
          <w:color w:val="0D0D0D"/>
          <w:szCs w:val="21"/>
        </w:rPr>
        <w:t>1.知识学习目标</w:t>
      </w:r>
    </w:p>
    <w:p>
      <w:pPr>
        <w:spacing w:line="360" w:lineRule="auto"/>
        <w:ind w:firstLine="420"/>
        <w:rPr>
          <w:bCs/>
          <w:color w:val="0D0D0D"/>
          <w:szCs w:val="21"/>
        </w:rPr>
      </w:pPr>
      <w:r>
        <w:rPr>
          <w:rFonts w:hint="eastAsia"/>
          <w:bCs/>
          <w:color w:val="0D0D0D"/>
          <w:szCs w:val="21"/>
        </w:rPr>
        <w:t>课程目的以培养“宽口径、厚基础、重素质”为教育理念，要求学生熟悉我国相关医事法律制度，掌握医生和患者在医疗法律关系中分别享有的权利承担的义务，了解我国医疗纠纷的发生原因并熟悉我国医疗纠纷的预防和解决机制，培养医学生的法制观念，提高医学生的综合素质，让学生能够把握社会的发展的趋势，巩固医师职业精神和形成法律思维模式。</w:t>
      </w:r>
    </w:p>
    <w:p>
      <w:pPr>
        <w:spacing w:line="360" w:lineRule="auto"/>
        <w:ind w:firstLine="420"/>
        <w:rPr>
          <w:b/>
          <w:color w:val="0D0D0D"/>
          <w:szCs w:val="21"/>
        </w:rPr>
      </w:pPr>
      <w:r>
        <w:rPr>
          <w:rFonts w:hint="eastAsia"/>
          <w:b/>
          <w:color w:val="0D0D0D"/>
          <w:szCs w:val="21"/>
        </w:rPr>
        <w:t>2.技能学习目标</w:t>
      </w:r>
    </w:p>
    <w:p>
      <w:pPr>
        <w:spacing w:line="360" w:lineRule="auto"/>
        <w:ind w:firstLine="420"/>
        <w:rPr>
          <w:bCs/>
          <w:color w:val="0D0D0D"/>
          <w:szCs w:val="21"/>
        </w:rPr>
      </w:pPr>
      <w:r>
        <w:rPr>
          <w:rFonts w:hint="eastAsia"/>
          <w:bCs/>
          <w:color w:val="0D0D0D"/>
          <w:szCs w:val="21"/>
        </w:rPr>
        <w:t>通过授课让医学生了解我国医事法律，培养法律意识，增强法律观念，有效提高医学生的综合人文素质。教学思路主张开放性、问题性和启发性思考，以医疗环境中的特殊问题为切入点引导学生分析和交流。通过引导式的教学方法培养学生分析问题解决问题的能力。</w:t>
      </w:r>
    </w:p>
    <w:p>
      <w:pPr>
        <w:numPr>
          <w:ilvl w:val="0"/>
          <w:numId w:val="1"/>
        </w:numPr>
        <w:spacing w:line="360" w:lineRule="auto"/>
        <w:rPr>
          <w:b/>
          <w:color w:val="0D0D0D"/>
          <w:szCs w:val="21"/>
        </w:rPr>
      </w:pPr>
      <w:r>
        <w:rPr>
          <w:rFonts w:hint="eastAsia"/>
          <w:b/>
          <w:color w:val="0D0D0D"/>
          <w:szCs w:val="21"/>
        </w:rPr>
        <w:t>思政目标</w:t>
      </w:r>
    </w:p>
    <w:tbl>
      <w:tblPr>
        <w:tblStyle w:val="11"/>
        <w:tblpPr w:leftFromText="180" w:rightFromText="180" w:vertAnchor="text" w:tblpXSpec="center" w:tblpY="1"/>
        <w:tblOverlap w:val="never"/>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701"/>
        <w:gridCol w:w="2268"/>
        <w:gridCol w:w="170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spacing w:line="288" w:lineRule="auto"/>
              <w:rPr>
                <w:b/>
              </w:rPr>
            </w:pPr>
            <w:r>
              <w:rPr>
                <w:rFonts w:hint="eastAsia"/>
                <w:b/>
              </w:rPr>
              <w:t>序号</w:t>
            </w:r>
          </w:p>
        </w:tc>
        <w:tc>
          <w:tcPr>
            <w:tcW w:w="1701" w:type="dxa"/>
          </w:tcPr>
          <w:p>
            <w:pPr>
              <w:spacing w:line="288" w:lineRule="auto"/>
              <w:jc w:val="center"/>
              <w:rPr>
                <w:b/>
              </w:rPr>
            </w:pPr>
            <w:r>
              <w:rPr>
                <w:rFonts w:hint="eastAsia"/>
                <w:b/>
              </w:rPr>
              <w:t>融入章节</w:t>
            </w:r>
          </w:p>
        </w:tc>
        <w:tc>
          <w:tcPr>
            <w:tcW w:w="2268" w:type="dxa"/>
          </w:tcPr>
          <w:p>
            <w:pPr>
              <w:spacing w:line="288" w:lineRule="auto"/>
              <w:jc w:val="center"/>
              <w:rPr>
                <w:b/>
              </w:rPr>
            </w:pPr>
            <w:r>
              <w:rPr>
                <w:rFonts w:hint="eastAsia"/>
                <w:b/>
              </w:rPr>
              <w:t>融入专业知识</w:t>
            </w:r>
          </w:p>
        </w:tc>
        <w:tc>
          <w:tcPr>
            <w:tcW w:w="1701" w:type="dxa"/>
          </w:tcPr>
          <w:p>
            <w:pPr>
              <w:spacing w:line="288" w:lineRule="auto"/>
              <w:jc w:val="center"/>
              <w:rPr>
                <w:b/>
              </w:rPr>
            </w:pPr>
            <w:r>
              <w:rPr>
                <w:rFonts w:hint="eastAsia"/>
                <w:b/>
              </w:rPr>
              <w:t>思政元素点</w:t>
            </w:r>
          </w:p>
        </w:tc>
        <w:tc>
          <w:tcPr>
            <w:tcW w:w="2126" w:type="dxa"/>
          </w:tcPr>
          <w:p>
            <w:pPr>
              <w:spacing w:line="288" w:lineRule="auto"/>
              <w:jc w:val="center"/>
              <w:rPr>
                <w:b/>
              </w:rPr>
            </w:pPr>
            <w:r>
              <w:rPr>
                <w:rFonts w:hint="eastAsia"/>
                <w:b/>
              </w:rPr>
              <w:t>思政目标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288" w:lineRule="auto"/>
              <w:jc w:val="center"/>
              <w:rPr>
                <w:b/>
              </w:rPr>
            </w:pPr>
            <w:bookmarkStart w:id="0" w:name="_GoBack" w:colFirst="1" w:colLast="4"/>
            <w:r>
              <w:rPr>
                <w:rFonts w:hint="eastAsia"/>
                <w:b/>
              </w:rPr>
              <w:t>1</w:t>
            </w:r>
          </w:p>
        </w:tc>
        <w:tc>
          <w:tcPr>
            <w:tcW w:w="1701" w:type="dxa"/>
          </w:tcPr>
          <w:p>
            <w:pPr>
              <w:spacing w:line="288" w:lineRule="auto"/>
              <w:jc w:val="center"/>
              <w:rPr>
                <w:b w:val="0"/>
                <w:bCs/>
              </w:rPr>
            </w:pPr>
            <w:r>
              <w:rPr>
                <w:rFonts w:hint="eastAsia"/>
                <w:b w:val="0"/>
                <w:bCs/>
              </w:rPr>
              <w:t>第一章 医事法概述</w:t>
            </w:r>
          </w:p>
        </w:tc>
        <w:tc>
          <w:tcPr>
            <w:tcW w:w="2268" w:type="dxa"/>
          </w:tcPr>
          <w:p>
            <w:pPr>
              <w:spacing w:line="288" w:lineRule="auto"/>
              <w:rPr>
                <w:b w:val="0"/>
                <w:bCs/>
              </w:rPr>
            </w:pPr>
            <w:r>
              <w:rPr>
                <w:rFonts w:hint="eastAsia"/>
                <w:b w:val="0"/>
                <w:bCs/>
              </w:rPr>
              <w:t>医事法的历史沿革与发展趋势</w:t>
            </w:r>
          </w:p>
        </w:tc>
        <w:tc>
          <w:tcPr>
            <w:tcW w:w="1701" w:type="dxa"/>
          </w:tcPr>
          <w:p>
            <w:pPr>
              <w:spacing w:line="288" w:lineRule="auto"/>
              <w:rPr>
                <w:b w:val="0"/>
                <w:bCs/>
              </w:rPr>
            </w:pPr>
            <w:r>
              <w:rPr>
                <w:rFonts w:hint="eastAsia"/>
                <w:b w:val="0"/>
                <w:bCs/>
              </w:rPr>
              <w:t>构建和谐医患关系；树立敬业精神</w:t>
            </w:r>
          </w:p>
        </w:tc>
        <w:tc>
          <w:tcPr>
            <w:tcW w:w="2126" w:type="dxa"/>
          </w:tcPr>
          <w:p>
            <w:pPr>
              <w:spacing w:line="288" w:lineRule="auto"/>
              <w:rPr>
                <w:b w:val="0"/>
                <w:bCs/>
              </w:rPr>
            </w:pPr>
            <w:r>
              <w:rPr>
                <w:rFonts w:hint="eastAsia"/>
                <w:b w:val="0"/>
                <w:bCs/>
              </w:rPr>
              <w:t>社会主义核心价值观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288" w:lineRule="auto"/>
              <w:jc w:val="center"/>
              <w:rPr>
                <w:b/>
              </w:rPr>
            </w:pPr>
            <w:r>
              <w:rPr>
                <w:rFonts w:hint="eastAsia"/>
                <w:b/>
              </w:rPr>
              <w:t>2</w:t>
            </w:r>
          </w:p>
        </w:tc>
        <w:tc>
          <w:tcPr>
            <w:tcW w:w="1701" w:type="dxa"/>
          </w:tcPr>
          <w:p>
            <w:pPr>
              <w:spacing w:line="288" w:lineRule="auto"/>
              <w:jc w:val="center"/>
              <w:rPr>
                <w:b w:val="0"/>
                <w:bCs/>
              </w:rPr>
            </w:pPr>
            <w:r>
              <w:rPr>
                <w:rFonts w:hint="eastAsia"/>
                <w:b w:val="0"/>
                <w:bCs/>
              </w:rPr>
              <w:t>第三章 医生的权利与义务</w:t>
            </w:r>
          </w:p>
        </w:tc>
        <w:tc>
          <w:tcPr>
            <w:tcW w:w="2268" w:type="dxa"/>
          </w:tcPr>
          <w:p>
            <w:pPr>
              <w:spacing w:line="288" w:lineRule="auto"/>
              <w:rPr>
                <w:b w:val="0"/>
                <w:bCs/>
              </w:rPr>
            </w:pPr>
            <w:r>
              <w:rPr>
                <w:rFonts w:hint="eastAsia"/>
                <w:b w:val="0"/>
                <w:bCs/>
              </w:rPr>
              <w:t>医生的强制缔约责任</w:t>
            </w:r>
          </w:p>
        </w:tc>
        <w:tc>
          <w:tcPr>
            <w:tcW w:w="1701" w:type="dxa"/>
          </w:tcPr>
          <w:p>
            <w:pPr>
              <w:spacing w:line="288" w:lineRule="auto"/>
              <w:rPr>
                <w:rFonts w:eastAsia="微软雅黑"/>
                <w:b w:val="0"/>
                <w:bCs/>
              </w:rPr>
            </w:pPr>
            <w:r>
              <w:rPr>
                <w:rFonts w:hint="eastAsia"/>
                <w:b w:val="0"/>
                <w:bCs/>
              </w:rPr>
              <w:t>医疗卫生与健康事业应当坚持以人民为中心，为人民健康服务</w:t>
            </w:r>
          </w:p>
        </w:tc>
        <w:tc>
          <w:tcPr>
            <w:tcW w:w="2126" w:type="dxa"/>
          </w:tcPr>
          <w:p>
            <w:pPr>
              <w:spacing w:line="288" w:lineRule="auto"/>
              <w:rPr>
                <w:b w:val="0"/>
                <w:bCs/>
              </w:rPr>
            </w:pPr>
            <w:r>
              <w:rPr>
                <w:rFonts w:hint="eastAsia"/>
                <w:b w:val="0"/>
                <w:bCs/>
              </w:rPr>
              <w:t>中国特色社会主义的根本立场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spacing w:line="288" w:lineRule="auto"/>
              <w:jc w:val="center"/>
              <w:rPr>
                <w:b/>
              </w:rPr>
            </w:pPr>
            <w:r>
              <w:rPr>
                <w:rFonts w:hint="eastAsia"/>
                <w:b/>
              </w:rPr>
              <w:t>3</w:t>
            </w:r>
          </w:p>
        </w:tc>
        <w:tc>
          <w:tcPr>
            <w:tcW w:w="1701" w:type="dxa"/>
          </w:tcPr>
          <w:p>
            <w:pPr>
              <w:spacing w:line="288" w:lineRule="auto"/>
              <w:jc w:val="center"/>
              <w:rPr>
                <w:b w:val="0"/>
                <w:bCs/>
              </w:rPr>
            </w:pPr>
            <w:r>
              <w:rPr>
                <w:rFonts w:hint="eastAsia"/>
                <w:b w:val="0"/>
                <w:bCs/>
              </w:rPr>
              <w:t>第四章 患者的权利与义务</w:t>
            </w:r>
          </w:p>
        </w:tc>
        <w:tc>
          <w:tcPr>
            <w:tcW w:w="2268" w:type="dxa"/>
          </w:tcPr>
          <w:p>
            <w:pPr>
              <w:spacing w:line="288" w:lineRule="auto"/>
              <w:rPr>
                <w:b w:val="0"/>
                <w:bCs/>
              </w:rPr>
            </w:pPr>
            <w:r>
              <w:rPr>
                <w:rFonts w:hint="eastAsia"/>
                <w:b w:val="0"/>
                <w:bCs/>
              </w:rPr>
              <w:t>患者的权利</w:t>
            </w:r>
          </w:p>
        </w:tc>
        <w:tc>
          <w:tcPr>
            <w:tcW w:w="1701" w:type="dxa"/>
          </w:tcPr>
          <w:p>
            <w:pPr>
              <w:spacing w:line="288" w:lineRule="auto"/>
              <w:rPr>
                <w:b w:val="0"/>
                <w:bCs/>
              </w:rPr>
            </w:pPr>
            <w:r>
              <w:rPr>
                <w:rFonts w:hint="eastAsia"/>
                <w:b w:val="0"/>
                <w:bCs/>
              </w:rPr>
              <w:t>尊重患者权利，</w:t>
            </w:r>
            <w:r>
              <w:rPr>
                <w:rFonts w:hint="eastAsia"/>
                <w:b w:val="0"/>
                <w:bCs/>
                <w:color w:val="0D0D0D"/>
                <w:szCs w:val="21"/>
              </w:rPr>
              <w:t>巩固医师职业精神，形成法律思维模式</w:t>
            </w:r>
          </w:p>
        </w:tc>
        <w:tc>
          <w:tcPr>
            <w:tcW w:w="2126" w:type="dxa"/>
          </w:tcPr>
          <w:p>
            <w:pPr>
              <w:spacing w:line="288" w:lineRule="auto"/>
              <w:rPr>
                <w:b w:val="0"/>
                <w:bCs/>
              </w:rPr>
            </w:pPr>
            <w:r>
              <w:rPr>
                <w:rFonts w:hint="eastAsia"/>
                <w:b w:val="0"/>
                <w:bCs/>
              </w:rPr>
              <w:t>社会主义核心价值观</w:t>
            </w:r>
          </w:p>
        </w:tc>
      </w:tr>
      <w:bookmarkEnd w:id="0"/>
    </w:tbl>
    <w:p>
      <w:pPr>
        <w:spacing w:line="360" w:lineRule="auto"/>
        <w:ind w:firstLine="422" w:firstLineChars="200"/>
        <w:rPr>
          <w:b/>
          <w:color w:val="0000FF"/>
        </w:rPr>
      </w:pPr>
    </w:p>
    <w:p>
      <w:pPr>
        <w:spacing w:line="360" w:lineRule="auto"/>
        <w:ind w:firstLine="422" w:firstLineChars="200"/>
        <w:rPr>
          <w:b/>
        </w:rPr>
      </w:pPr>
      <w:r>
        <w:rPr>
          <w:rFonts w:hint="eastAsia"/>
          <w:b/>
        </w:rPr>
        <w:t>七、主要教学方法</w:t>
      </w:r>
    </w:p>
    <w:p>
      <w:pPr>
        <w:spacing w:line="360" w:lineRule="auto"/>
        <w:ind w:firstLine="435"/>
        <w:rPr>
          <w:color w:val="0D0D0D"/>
        </w:rPr>
      </w:pPr>
      <w:r>
        <w:rPr>
          <w:color w:val="0D0D0D"/>
        </w:rPr>
        <w:t>教学方法：</w:t>
      </w:r>
      <w:r>
        <w:rPr>
          <w:rFonts w:hint="eastAsia"/>
          <w:color w:val="0D0D0D"/>
        </w:rPr>
        <w:t>以讲授法与案例讨论并重，以教师讲授、集体讨论、教师评析的互动学习模式。</w:t>
      </w:r>
    </w:p>
    <w:p>
      <w:pPr>
        <w:spacing w:line="360" w:lineRule="auto"/>
        <w:ind w:firstLine="435"/>
        <w:rPr>
          <w:color w:val="0D0D0D"/>
        </w:rPr>
      </w:pPr>
      <w:r>
        <w:rPr>
          <w:rFonts w:hint="eastAsia"/>
          <w:color w:val="0D0D0D"/>
        </w:rPr>
        <w:t>案例讨论以小组案例分析和讨论的形式完成教学任务。教师根据教学目的和要求，课前布置对法律案例、法律事件进行分析的要求和学习任务；课中教师引导进行分析，引领学生逐步掌握相关基本知识和基本理论；然后教师根据评价标准对每个小组完成的分析报告进行评价。</w:t>
      </w:r>
    </w:p>
    <w:p>
      <w:pPr>
        <w:spacing w:line="360" w:lineRule="auto"/>
        <w:rPr>
          <w:b/>
          <w:color w:val="0000FF"/>
        </w:rPr>
      </w:pPr>
      <w:r>
        <w:rPr>
          <w:rFonts w:hint="eastAsia"/>
          <w:b/>
        </w:rPr>
        <w:t>八、参考教材（名称、主编、出版社、出版时间）</w:t>
      </w:r>
    </w:p>
    <w:p>
      <w:pPr>
        <w:spacing w:line="360" w:lineRule="auto"/>
        <w:ind w:firstLine="420" w:firstLineChars="200"/>
        <w:rPr>
          <w:color w:val="0D0D0D"/>
        </w:rPr>
      </w:pPr>
      <w:r>
        <w:rPr>
          <w:rFonts w:hint="eastAsia"/>
          <w:color w:val="0D0D0D"/>
        </w:rPr>
        <w:t>1.王岳主编：医事法，人民卫生出版社，2019年版</w:t>
      </w:r>
    </w:p>
    <w:p>
      <w:pPr>
        <w:spacing w:line="360" w:lineRule="auto"/>
        <w:ind w:firstLine="420" w:firstLineChars="200"/>
        <w:rPr>
          <w:color w:val="0D0D0D"/>
        </w:rPr>
      </w:pPr>
      <w:r>
        <w:rPr>
          <w:rFonts w:hint="eastAsia"/>
          <w:color w:val="0D0D0D"/>
        </w:rPr>
        <w:t>2.刘鑫著：医事法学，中国人民大学出版社，2022年版</w:t>
      </w:r>
    </w:p>
    <w:p>
      <w:pPr>
        <w:spacing w:line="360" w:lineRule="auto"/>
        <w:rPr>
          <w:b/>
        </w:rPr>
      </w:pPr>
      <w:r>
        <w:rPr>
          <w:rFonts w:hint="eastAsia"/>
          <w:b/>
        </w:rPr>
        <w:t xml:space="preserve">    九、教学学习资源或平台</w:t>
      </w:r>
    </w:p>
    <w:p>
      <w:pPr>
        <w:spacing w:line="288" w:lineRule="auto"/>
        <w:ind w:firstLine="420" w:firstLineChars="200"/>
        <w:rPr>
          <w:bCs/>
          <w:color w:val="0D0D0D"/>
        </w:rPr>
      </w:pPr>
      <w:r>
        <w:rPr>
          <w:rFonts w:hint="eastAsia"/>
          <w:bCs/>
          <w:color w:val="0D0D0D"/>
        </w:rPr>
        <w:t>PPT、相关法律法规</w:t>
      </w:r>
    </w:p>
    <w:p>
      <w:pPr>
        <w:spacing w:line="288" w:lineRule="auto"/>
        <w:rPr>
          <w:b/>
          <w:color w:val="0D0D0D"/>
        </w:rPr>
      </w:pPr>
      <w:r>
        <w:rPr>
          <w:rFonts w:hint="eastAsia"/>
          <w:b/>
          <w:color w:val="0D0D0D"/>
        </w:rPr>
        <w:t xml:space="preserve">    十、考核方式</w:t>
      </w:r>
    </w:p>
    <w:p>
      <w:pPr>
        <w:spacing w:line="360" w:lineRule="auto"/>
        <w:ind w:firstLine="420" w:firstLineChars="200"/>
        <w:rPr>
          <w:color w:val="0D0D0D"/>
        </w:rPr>
      </w:pPr>
      <w:r>
        <w:rPr>
          <w:rFonts w:hint="eastAsia"/>
          <w:color w:val="0D0D0D"/>
        </w:rPr>
        <w:t>1.平时考核：通过小论文、课堂参与活动表现如课堂讨论、回答老师提问等方式进行，并结合考勤评定平时成绩，平时成绩占总成绩的40%。</w:t>
      </w:r>
    </w:p>
    <w:p>
      <w:pPr>
        <w:spacing w:line="360" w:lineRule="auto"/>
        <w:ind w:firstLine="420" w:firstLineChars="200"/>
        <w:rPr>
          <w:color w:val="0D0D0D"/>
        </w:rPr>
      </w:pPr>
      <w:r>
        <w:rPr>
          <w:rFonts w:hint="eastAsia"/>
          <w:color w:val="0D0D0D"/>
        </w:rPr>
        <w:t>2.期末考核：考查。采用论文形式，占总成绩的60%。</w:t>
      </w:r>
    </w:p>
    <w:p>
      <w:pPr>
        <w:spacing w:line="360" w:lineRule="auto"/>
        <w:ind w:firstLine="420" w:firstLineChars="200"/>
        <w:rPr>
          <w:color w:val="0D0D0D"/>
        </w:rPr>
      </w:pPr>
      <w:r>
        <w:rPr>
          <w:rFonts w:hint="eastAsia"/>
          <w:color w:val="0D0D0D"/>
        </w:rPr>
        <w:t>3.</w:t>
      </w:r>
      <w:r>
        <w:rPr>
          <w:color w:val="0D0D0D"/>
        </w:rPr>
        <w:t>考核与评价的分析结果通过学习通等网络学习平台向学生反馈。</w:t>
      </w:r>
    </w:p>
    <w:p>
      <w:pPr>
        <w:spacing w:line="288" w:lineRule="auto"/>
        <w:ind w:firstLine="420" w:firstLineChars="200"/>
        <w:rPr>
          <w:color w:val="0D0D0D"/>
        </w:rPr>
      </w:pPr>
    </w:p>
    <w:p>
      <w:pPr>
        <w:spacing w:line="288" w:lineRule="auto"/>
        <w:rPr>
          <w:b/>
          <w:color w:val="0D0D0D"/>
        </w:rPr>
        <w:sectPr>
          <w:footerReference r:id="rId8" w:type="default"/>
          <w:pgSz w:w="11906" w:h="16838"/>
          <w:pgMar w:top="1440" w:right="1797" w:bottom="1440" w:left="1797" w:header="851" w:footer="992" w:gutter="0"/>
          <w:pgNumType w:start="1"/>
          <w:cols w:space="720" w:num="1"/>
          <w:docGrid w:type="lines" w:linePitch="312" w:charSpace="0"/>
        </w:sectPr>
      </w:pPr>
    </w:p>
    <w:p>
      <w:pPr>
        <w:spacing w:line="288" w:lineRule="auto"/>
        <w:rPr>
          <w:b/>
          <w:color w:val="0D0D0D"/>
        </w:rPr>
      </w:pPr>
      <w:r>
        <w:rPr>
          <w:rFonts w:hint="eastAsia"/>
          <w:b/>
          <w:color w:val="0D0D0D"/>
        </w:rPr>
        <w:t>附表：教学计划表（在相应的表格内填写教学学时数）</w:t>
      </w:r>
    </w:p>
    <w:tbl>
      <w:tblPr>
        <w:tblStyle w:val="11"/>
        <w:tblW w:w="135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7"/>
        <w:gridCol w:w="4997"/>
        <w:gridCol w:w="2268"/>
        <w:gridCol w:w="2126"/>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207" w:type="dxa"/>
            <w:vAlign w:val="center"/>
          </w:tcPr>
          <w:p>
            <w:pPr>
              <w:spacing w:line="288" w:lineRule="auto"/>
              <w:jc w:val="center"/>
              <w:rPr>
                <w:b/>
                <w:color w:val="0D0D0D"/>
              </w:rPr>
            </w:pPr>
            <w:r>
              <w:rPr>
                <w:rFonts w:hint="eastAsia"/>
                <w:b/>
                <w:color w:val="0D0D0D"/>
              </w:rPr>
              <w:t>序号</w:t>
            </w:r>
          </w:p>
        </w:tc>
        <w:tc>
          <w:tcPr>
            <w:tcW w:w="4997" w:type="dxa"/>
            <w:vAlign w:val="center"/>
          </w:tcPr>
          <w:p>
            <w:pPr>
              <w:spacing w:line="288" w:lineRule="auto"/>
              <w:jc w:val="center"/>
              <w:rPr>
                <w:b/>
                <w:color w:val="0D0D0D"/>
              </w:rPr>
            </w:pPr>
            <w:r>
              <w:rPr>
                <w:rFonts w:hint="eastAsia"/>
                <w:b/>
                <w:color w:val="0D0D0D"/>
              </w:rPr>
              <w:t>学习内容</w:t>
            </w:r>
          </w:p>
        </w:tc>
        <w:tc>
          <w:tcPr>
            <w:tcW w:w="2268" w:type="dxa"/>
            <w:vAlign w:val="center"/>
          </w:tcPr>
          <w:p>
            <w:pPr>
              <w:spacing w:line="288" w:lineRule="auto"/>
              <w:jc w:val="center"/>
              <w:rPr>
                <w:b/>
                <w:color w:val="0D0D0D"/>
              </w:rPr>
            </w:pPr>
            <w:r>
              <w:rPr>
                <w:rFonts w:hint="eastAsia"/>
                <w:b/>
                <w:color w:val="0D0D0D"/>
              </w:rPr>
              <w:t>理论学时</w:t>
            </w:r>
          </w:p>
        </w:tc>
        <w:tc>
          <w:tcPr>
            <w:tcW w:w="2126" w:type="dxa"/>
            <w:vAlign w:val="center"/>
          </w:tcPr>
          <w:p>
            <w:pPr>
              <w:spacing w:line="288" w:lineRule="auto"/>
              <w:jc w:val="center"/>
              <w:rPr>
                <w:b/>
                <w:color w:val="0D0D0D"/>
              </w:rPr>
            </w:pPr>
            <w:r>
              <w:rPr>
                <w:rFonts w:hint="eastAsia"/>
                <w:b/>
                <w:color w:val="0D0D0D"/>
              </w:rPr>
              <w:t>实验学时</w:t>
            </w:r>
          </w:p>
        </w:tc>
        <w:tc>
          <w:tcPr>
            <w:tcW w:w="2977" w:type="dxa"/>
            <w:vAlign w:val="center"/>
          </w:tcPr>
          <w:p>
            <w:pPr>
              <w:spacing w:line="288" w:lineRule="auto"/>
              <w:jc w:val="center"/>
              <w:rPr>
                <w:b/>
                <w:color w:val="0D0D0D"/>
              </w:rPr>
            </w:pPr>
            <w:r>
              <w:rPr>
                <w:rFonts w:hint="eastAsia"/>
                <w:b/>
                <w:color w:val="0D0D0D"/>
              </w:rPr>
              <w:t>是否自主学习内容（学时）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1207" w:type="dxa"/>
            <w:vAlign w:val="center"/>
          </w:tcPr>
          <w:p>
            <w:pPr>
              <w:spacing w:line="288" w:lineRule="auto"/>
              <w:jc w:val="center"/>
              <w:rPr>
                <w:b/>
                <w:color w:val="0D0D0D"/>
              </w:rPr>
            </w:pPr>
            <w:r>
              <w:rPr>
                <w:rFonts w:hint="eastAsia"/>
                <w:b/>
                <w:color w:val="0D0D0D"/>
              </w:rPr>
              <w:t>1</w:t>
            </w:r>
          </w:p>
        </w:tc>
        <w:tc>
          <w:tcPr>
            <w:tcW w:w="4997" w:type="dxa"/>
            <w:vAlign w:val="center"/>
          </w:tcPr>
          <w:p>
            <w:pPr>
              <w:jc w:val="center"/>
              <w:rPr>
                <w:color w:val="0D0D0D"/>
                <w:szCs w:val="21"/>
              </w:rPr>
            </w:pPr>
            <w:r>
              <w:rPr>
                <w:rFonts w:hint="eastAsia"/>
                <w:color w:val="0D0D0D"/>
                <w:szCs w:val="21"/>
              </w:rPr>
              <w:t>医事法学概述</w:t>
            </w:r>
          </w:p>
        </w:tc>
        <w:tc>
          <w:tcPr>
            <w:tcW w:w="2268" w:type="dxa"/>
            <w:vAlign w:val="center"/>
          </w:tcPr>
          <w:p>
            <w:pPr>
              <w:spacing w:line="288" w:lineRule="auto"/>
              <w:jc w:val="center"/>
              <w:rPr>
                <w:b/>
                <w:color w:val="0D0D0D"/>
              </w:rPr>
            </w:pPr>
            <w:r>
              <w:rPr>
                <w:rFonts w:hint="eastAsia"/>
                <w:b/>
                <w:color w:val="0D0D0D"/>
              </w:rPr>
              <w:t>1</w:t>
            </w:r>
          </w:p>
        </w:tc>
        <w:tc>
          <w:tcPr>
            <w:tcW w:w="2126" w:type="dxa"/>
            <w:vAlign w:val="center"/>
          </w:tcPr>
          <w:p>
            <w:pPr>
              <w:spacing w:line="288" w:lineRule="auto"/>
              <w:jc w:val="center"/>
              <w:rPr>
                <w:b/>
                <w:color w:val="0D0D0D"/>
              </w:rPr>
            </w:pPr>
            <w:r>
              <w:rPr>
                <w:rFonts w:hint="eastAsia"/>
                <w:b/>
                <w:color w:val="0D0D0D"/>
              </w:rPr>
              <w:t>0</w:t>
            </w:r>
          </w:p>
        </w:tc>
        <w:tc>
          <w:tcPr>
            <w:tcW w:w="2977" w:type="dxa"/>
            <w:vAlign w:val="center"/>
          </w:tcPr>
          <w:p>
            <w:pPr>
              <w:spacing w:line="288" w:lineRule="auto"/>
              <w:jc w:val="center"/>
              <w:rPr>
                <w:b/>
                <w:color w:val="0D0D0D"/>
              </w:rPr>
            </w:pPr>
            <w:r>
              <w:rPr>
                <w:rFonts w:hint="eastAsia"/>
                <w:b/>
                <w:color w:val="0D0D0D"/>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207" w:type="dxa"/>
            <w:vAlign w:val="center"/>
          </w:tcPr>
          <w:p>
            <w:pPr>
              <w:spacing w:line="288" w:lineRule="auto"/>
              <w:jc w:val="center"/>
              <w:rPr>
                <w:b/>
                <w:color w:val="0D0D0D"/>
              </w:rPr>
            </w:pPr>
            <w:r>
              <w:rPr>
                <w:rFonts w:hint="eastAsia"/>
                <w:b/>
                <w:color w:val="0D0D0D"/>
              </w:rPr>
              <w:t>2</w:t>
            </w:r>
          </w:p>
        </w:tc>
        <w:tc>
          <w:tcPr>
            <w:tcW w:w="4997" w:type="dxa"/>
            <w:vAlign w:val="center"/>
          </w:tcPr>
          <w:p>
            <w:pPr>
              <w:jc w:val="center"/>
              <w:rPr>
                <w:color w:val="0D0D0D"/>
                <w:szCs w:val="21"/>
              </w:rPr>
            </w:pPr>
            <w:r>
              <w:rPr>
                <w:rFonts w:hint="eastAsia"/>
                <w:color w:val="0D0D0D"/>
                <w:szCs w:val="21"/>
              </w:rPr>
              <w:t>医患法律关系</w:t>
            </w:r>
          </w:p>
        </w:tc>
        <w:tc>
          <w:tcPr>
            <w:tcW w:w="2268" w:type="dxa"/>
            <w:vAlign w:val="center"/>
          </w:tcPr>
          <w:p>
            <w:pPr>
              <w:spacing w:line="288" w:lineRule="auto"/>
              <w:jc w:val="center"/>
              <w:rPr>
                <w:b/>
                <w:color w:val="0D0D0D"/>
              </w:rPr>
            </w:pPr>
            <w:r>
              <w:rPr>
                <w:rFonts w:hint="eastAsia"/>
                <w:b/>
                <w:color w:val="0D0D0D"/>
              </w:rPr>
              <w:t>1</w:t>
            </w:r>
          </w:p>
        </w:tc>
        <w:tc>
          <w:tcPr>
            <w:tcW w:w="2126" w:type="dxa"/>
            <w:vAlign w:val="center"/>
          </w:tcPr>
          <w:p>
            <w:pPr>
              <w:spacing w:line="288" w:lineRule="auto"/>
              <w:jc w:val="center"/>
              <w:rPr>
                <w:b/>
                <w:color w:val="0D0D0D"/>
              </w:rPr>
            </w:pPr>
            <w:r>
              <w:rPr>
                <w:rFonts w:hint="eastAsia"/>
                <w:b/>
                <w:color w:val="0D0D0D"/>
              </w:rPr>
              <w:t>0</w:t>
            </w:r>
          </w:p>
        </w:tc>
        <w:tc>
          <w:tcPr>
            <w:tcW w:w="2977" w:type="dxa"/>
            <w:vAlign w:val="center"/>
          </w:tcPr>
          <w:p>
            <w:pPr>
              <w:spacing w:line="288" w:lineRule="auto"/>
              <w:jc w:val="center"/>
              <w:rPr>
                <w:b/>
                <w:color w:val="0D0D0D"/>
              </w:rPr>
            </w:pPr>
            <w:r>
              <w:rPr>
                <w:rFonts w:hint="eastAsia"/>
                <w:b/>
                <w:color w:val="0D0D0D"/>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207" w:type="dxa"/>
            <w:vAlign w:val="center"/>
          </w:tcPr>
          <w:p>
            <w:pPr>
              <w:spacing w:line="288" w:lineRule="auto"/>
              <w:jc w:val="center"/>
              <w:rPr>
                <w:b/>
                <w:color w:val="0D0D0D"/>
              </w:rPr>
            </w:pPr>
            <w:r>
              <w:rPr>
                <w:rFonts w:hint="eastAsia"/>
                <w:b/>
                <w:color w:val="0D0D0D"/>
              </w:rPr>
              <w:t>3</w:t>
            </w:r>
          </w:p>
        </w:tc>
        <w:tc>
          <w:tcPr>
            <w:tcW w:w="4997" w:type="dxa"/>
            <w:vAlign w:val="center"/>
          </w:tcPr>
          <w:p>
            <w:pPr>
              <w:jc w:val="center"/>
              <w:rPr>
                <w:color w:val="0D0D0D"/>
                <w:szCs w:val="21"/>
              </w:rPr>
            </w:pPr>
            <w:r>
              <w:rPr>
                <w:rFonts w:hint="eastAsia"/>
                <w:color w:val="0D0D0D"/>
                <w:szCs w:val="21"/>
              </w:rPr>
              <w:t>医生的权利与义务</w:t>
            </w:r>
          </w:p>
        </w:tc>
        <w:tc>
          <w:tcPr>
            <w:tcW w:w="2268" w:type="dxa"/>
            <w:vAlign w:val="center"/>
          </w:tcPr>
          <w:p>
            <w:pPr>
              <w:spacing w:line="288" w:lineRule="auto"/>
              <w:jc w:val="center"/>
              <w:rPr>
                <w:b/>
                <w:color w:val="0D0D0D"/>
              </w:rPr>
            </w:pPr>
            <w:r>
              <w:rPr>
                <w:rFonts w:hint="eastAsia"/>
                <w:b/>
                <w:color w:val="0D0D0D"/>
              </w:rPr>
              <w:t>2</w:t>
            </w:r>
          </w:p>
        </w:tc>
        <w:tc>
          <w:tcPr>
            <w:tcW w:w="2126" w:type="dxa"/>
            <w:vAlign w:val="center"/>
          </w:tcPr>
          <w:p>
            <w:pPr>
              <w:spacing w:line="288" w:lineRule="auto"/>
              <w:jc w:val="center"/>
              <w:rPr>
                <w:b/>
                <w:color w:val="0D0D0D"/>
              </w:rPr>
            </w:pPr>
            <w:r>
              <w:rPr>
                <w:rFonts w:hint="eastAsia"/>
                <w:b/>
                <w:color w:val="0D0D0D"/>
              </w:rPr>
              <w:t>0</w:t>
            </w:r>
          </w:p>
        </w:tc>
        <w:tc>
          <w:tcPr>
            <w:tcW w:w="2977" w:type="dxa"/>
            <w:vAlign w:val="center"/>
          </w:tcPr>
          <w:p>
            <w:pPr>
              <w:spacing w:line="288" w:lineRule="auto"/>
              <w:jc w:val="center"/>
              <w:rPr>
                <w:b/>
                <w:color w:val="0D0D0D"/>
              </w:rPr>
            </w:pPr>
            <w:r>
              <w:rPr>
                <w:rFonts w:hint="eastAsia"/>
                <w:b/>
                <w:color w:val="0D0D0D"/>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207" w:type="dxa"/>
            <w:vAlign w:val="center"/>
          </w:tcPr>
          <w:p>
            <w:pPr>
              <w:spacing w:line="288" w:lineRule="auto"/>
              <w:jc w:val="center"/>
              <w:rPr>
                <w:b/>
                <w:color w:val="0D0D0D"/>
              </w:rPr>
            </w:pPr>
            <w:r>
              <w:rPr>
                <w:rFonts w:hint="eastAsia"/>
                <w:b/>
                <w:color w:val="0D0D0D"/>
              </w:rPr>
              <w:t>4</w:t>
            </w:r>
          </w:p>
        </w:tc>
        <w:tc>
          <w:tcPr>
            <w:tcW w:w="4997" w:type="dxa"/>
            <w:vAlign w:val="center"/>
          </w:tcPr>
          <w:p>
            <w:pPr>
              <w:jc w:val="center"/>
              <w:rPr>
                <w:color w:val="0D0D0D"/>
                <w:szCs w:val="21"/>
              </w:rPr>
            </w:pPr>
            <w:r>
              <w:rPr>
                <w:rFonts w:hint="eastAsia"/>
                <w:color w:val="0D0D0D"/>
                <w:szCs w:val="21"/>
              </w:rPr>
              <w:t>患者的权利与义务</w:t>
            </w:r>
          </w:p>
        </w:tc>
        <w:tc>
          <w:tcPr>
            <w:tcW w:w="2268" w:type="dxa"/>
            <w:vAlign w:val="center"/>
          </w:tcPr>
          <w:p>
            <w:pPr>
              <w:spacing w:line="288" w:lineRule="auto"/>
              <w:jc w:val="center"/>
              <w:rPr>
                <w:b/>
                <w:color w:val="0D0D0D"/>
              </w:rPr>
            </w:pPr>
            <w:r>
              <w:rPr>
                <w:rFonts w:hint="eastAsia"/>
                <w:b/>
                <w:color w:val="0D0D0D"/>
              </w:rPr>
              <w:t>2</w:t>
            </w:r>
          </w:p>
        </w:tc>
        <w:tc>
          <w:tcPr>
            <w:tcW w:w="2126" w:type="dxa"/>
            <w:vAlign w:val="center"/>
          </w:tcPr>
          <w:p>
            <w:pPr>
              <w:spacing w:line="288" w:lineRule="auto"/>
              <w:jc w:val="center"/>
              <w:rPr>
                <w:b/>
                <w:color w:val="0D0D0D"/>
              </w:rPr>
            </w:pPr>
            <w:r>
              <w:rPr>
                <w:rFonts w:hint="eastAsia"/>
                <w:b/>
                <w:color w:val="0D0D0D"/>
              </w:rPr>
              <w:t>0</w:t>
            </w:r>
          </w:p>
        </w:tc>
        <w:tc>
          <w:tcPr>
            <w:tcW w:w="2977" w:type="dxa"/>
            <w:vAlign w:val="center"/>
          </w:tcPr>
          <w:p>
            <w:pPr>
              <w:spacing w:line="288" w:lineRule="auto"/>
              <w:jc w:val="center"/>
              <w:rPr>
                <w:b/>
                <w:color w:val="0D0D0D"/>
              </w:rPr>
            </w:pPr>
            <w:r>
              <w:rPr>
                <w:rFonts w:hint="eastAsia"/>
                <w:b/>
                <w:color w:val="0D0D0D"/>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1207" w:type="dxa"/>
            <w:vAlign w:val="center"/>
          </w:tcPr>
          <w:p>
            <w:pPr>
              <w:spacing w:line="288" w:lineRule="auto"/>
              <w:jc w:val="center"/>
              <w:rPr>
                <w:b/>
                <w:color w:val="0D0D0D"/>
              </w:rPr>
            </w:pPr>
            <w:r>
              <w:rPr>
                <w:rFonts w:hint="eastAsia"/>
                <w:b/>
                <w:color w:val="0D0D0D"/>
              </w:rPr>
              <w:t>5</w:t>
            </w:r>
          </w:p>
        </w:tc>
        <w:tc>
          <w:tcPr>
            <w:tcW w:w="4997" w:type="dxa"/>
            <w:vAlign w:val="center"/>
          </w:tcPr>
          <w:p>
            <w:pPr>
              <w:jc w:val="center"/>
              <w:rPr>
                <w:color w:val="0D0D0D"/>
                <w:szCs w:val="21"/>
              </w:rPr>
            </w:pPr>
            <w:r>
              <w:rPr>
                <w:rFonts w:hint="eastAsia"/>
                <w:color w:val="0D0D0D"/>
                <w:szCs w:val="21"/>
              </w:rPr>
              <w:t>知情同意制度</w:t>
            </w:r>
          </w:p>
        </w:tc>
        <w:tc>
          <w:tcPr>
            <w:tcW w:w="2268" w:type="dxa"/>
            <w:vAlign w:val="center"/>
          </w:tcPr>
          <w:p>
            <w:pPr>
              <w:spacing w:line="288" w:lineRule="auto"/>
              <w:jc w:val="center"/>
              <w:rPr>
                <w:b/>
                <w:color w:val="0D0D0D"/>
              </w:rPr>
            </w:pPr>
            <w:r>
              <w:rPr>
                <w:rFonts w:hint="eastAsia"/>
                <w:b/>
                <w:color w:val="0D0D0D"/>
              </w:rPr>
              <w:t>2</w:t>
            </w:r>
          </w:p>
        </w:tc>
        <w:tc>
          <w:tcPr>
            <w:tcW w:w="2126" w:type="dxa"/>
            <w:vAlign w:val="center"/>
          </w:tcPr>
          <w:p>
            <w:pPr>
              <w:spacing w:line="288" w:lineRule="auto"/>
              <w:jc w:val="center"/>
              <w:rPr>
                <w:b/>
                <w:color w:val="0D0D0D"/>
              </w:rPr>
            </w:pPr>
            <w:r>
              <w:rPr>
                <w:rFonts w:hint="eastAsia"/>
                <w:b/>
                <w:color w:val="0D0D0D"/>
              </w:rPr>
              <w:t>0</w:t>
            </w:r>
          </w:p>
        </w:tc>
        <w:tc>
          <w:tcPr>
            <w:tcW w:w="2977" w:type="dxa"/>
            <w:vAlign w:val="center"/>
          </w:tcPr>
          <w:p>
            <w:pPr>
              <w:spacing w:line="288" w:lineRule="auto"/>
              <w:jc w:val="center"/>
              <w:rPr>
                <w:b/>
                <w:color w:val="0D0D0D"/>
              </w:rPr>
            </w:pPr>
            <w:r>
              <w:rPr>
                <w:rFonts w:hint="eastAsia"/>
                <w:b/>
                <w:color w:val="0D0D0D"/>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1207" w:type="dxa"/>
            <w:vAlign w:val="center"/>
          </w:tcPr>
          <w:p>
            <w:pPr>
              <w:spacing w:line="288" w:lineRule="auto"/>
              <w:jc w:val="center"/>
              <w:rPr>
                <w:b/>
                <w:color w:val="0D0D0D"/>
              </w:rPr>
            </w:pPr>
            <w:r>
              <w:rPr>
                <w:rFonts w:hint="eastAsia"/>
                <w:b/>
                <w:color w:val="0D0D0D"/>
              </w:rPr>
              <w:t>6</w:t>
            </w:r>
          </w:p>
        </w:tc>
        <w:tc>
          <w:tcPr>
            <w:tcW w:w="4997" w:type="dxa"/>
            <w:vAlign w:val="center"/>
          </w:tcPr>
          <w:p>
            <w:pPr>
              <w:jc w:val="center"/>
              <w:rPr>
                <w:color w:val="0D0D0D"/>
                <w:szCs w:val="21"/>
              </w:rPr>
            </w:pPr>
            <w:r>
              <w:rPr>
                <w:rFonts w:hint="eastAsia"/>
                <w:color w:val="0D0D0D"/>
                <w:szCs w:val="21"/>
              </w:rPr>
              <w:t>医疗过失的认定</w:t>
            </w:r>
          </w:p>
        </w:tc>
        <w:tc>
          <w:tcPr>
            <w:tcW w:w="2268" w:type="dxa"/>
            <w:vAlign w:val="center"/>
          </w:tcPr>
          <w:p>
            <w:pPr>
              <w:spacing w:line="288" w:lineRule="auto"/>
              <w:jc w:val="center"/>
              <w:rPr>
                <w:b/>
                <w:color w:val="0D0D0D"/>
              </w:rPr>
            </w:pPr>
            <w:r>
              <w:rPr>
                <w:rFonts w:hint="eastAsia"/>
                <w:b/>
                <w:color w:val="0D0D0D"/>
              </w:rPr>
              <w:t>2</w:t>
            </w:r>
          </w:p>
        </w:tc>
        <w:tc>
          <w:tcPr>
            <w:tcW w:w="2126" w:type="dxa"/>
            <w:vAlign w:val="center"/>
          </w:tcPr>
          <w:p>
            <w:pPr>
              <w:spacing w:line="288" w:lineRule="auto"/>
              <w:jc w:val="center"/>
              <w:rPr>
                <w:b/>
                <w:color w:val="0D0D0D"/>
              </w:rPr>
            </w:pPr>
            <w:r>
              <w:rPr>
                <w:rFonts w:hint="eastAsia"/>
                <w:b/>
                <w:color w:val="0D0D0D"/>
              </w:rPr>
              <w:t>0</w:t>
            </w:r>
          </w:p>
        </w:tc>
        <w:tc>
          <w:tcPr>
            <w:tcW w:w="2977" w:type="dxa"/>
            <w:vAlign w:val="center"/>
          </w:tcPr>
          <w:p>
            <w:pPr>
              <w:spacing w:line="288" w:lineRule="auto"/>
              <w:jc w:val="center"/>
              <w:rPr>
                <w:b/>
                <w:color w:val="0D0D0D"/>
              </w:rPr>
            </w:pPr>
            <w:r>
              <w:rPr>
                <w:rFonts w:hint="eastAsia"/>
                <w:b/>
                <w:color w:val="0D0D0D"/>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207" w:type="dxa"/>
            <w:vAlign w:val="center"/>
          </w:tcPr>
          <w:p>
            <w:pPr>
              <w:spacing w:line="288" w:lineRule="auto"/>
              <w:jc w:val="center"/>
              <w:rPr>
                <w:b/>
                <w:color w:val="0D0D0D"/>
              </w:rPr>
            </w:pPr>
            <w:r>
              <w:rPr>
                <w:rFonts w:hint="eastAsia"/>
                <w:b/>
                <w:color w:val="0D0D0D"/>
              </w:rPr>
              <w:t>7</w:t>
            </w:r>
          </w:p>
        </w:tc>
        <w:tc>
          <w:tcPr>
            <w:tcW w:w="4997" w:type="dxa"/>
            <w:vAlign w:val="center"/>
          </w:tcPr>
          <w:p>
            <w:pPr>
              <w:jc w:val="center"/>
              <w:rPr>
                <w:color w:val="0D0D0D"/>
                <w:szCs w:val="21"/>
              </w:rPr>
            </w:pPr>
            <w:r>
              <w:rPr>
                <w:rFonts w:hint="eastAsia"/>
                <w:color w:val="0D0D0D"/>
                <w:szCs w:val="21"/>
              </w:rPr>
              <w:t xml:space="preserve">医疗损害的法律责任 </w:t>
            </w:r>
          </w:p>
        </w:tc>
        <w:tc>
          <w:tcPr>
            <w:tcW w:w="2268" w:type="dxa"/>
            <w:vAlign w:val="center"/>
          </w:tcPr>
          <w:p>
            <w:pPr>
              <w:spacing w:line="288" w:lineRule="auto"/>
              <w:jc w:val="center"/>
              <w:rPr>
                <w:b/>
                <w:color w:val="0D0D0D"/>
              </w:rPr>
            </w:pPr>
            <w:r>
              <w:rPr>
                <w:rFonts w:hint="eastAsia"/>
                <w:b/>
                <w:color w:val="0D0D0D"/>
              </w:rPr>
              <w:t>2</w:t>
            </w:r>
          </w:p>
        </w:tc>
        <w:tc>
          <w:tcPr>
            <w:tcW w:w="2126" w:type="dxa"/>
            <w:vAlign w:val="center"/>
          </w:tcPr>
          <w:p>
            <w:pPr>
              <w:spacing w:line="288" w:lineRule="auto"/>
              <w:jc w:val="center"/>
              <w:rPr>
                <w:b/>
                <w:color w:val="0D0D0D"/>
              </w:rPr>
            </w:pPr>
            <w:r>
              <w:rPr>
                <w:rFonts w:hint="eastAsia"/>
                <w:b/>
                <w:color w:val="0D0D0D"/>
              </w:rPr>
              <w:t>0</w:t>
            </w:r>
          </w:p>
        </w:tc>
        <w:tc>
          <w:tcPr>
            <w:tcW w:w="2977" w:type="dxa"/>
            <w:vAlign w:val="center"/>
          </w:tcPr>
          <w:p>
            <w:pPr>
              <w:spacing w:line="288" w:lineRule="auto"/>
              <w:jc w:val="center"/>
              <w:rPr>
                <w:b/>
                <w:color w:val="0D0D0D"/>
              </w:rPr>
            </w:pPr>
            <w:r>
              <w:rPr>
                <w:rFonts w:hint="eastAsia"/>
                <w:b/>
                <w:color w:val="0D0D0D"/>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207" w:type="dxa"/>
            <w:vAlign w:val="center"/>
          </w:tcPr>
          <w:p>
            <w:pPr>
              <w:spacing w:line="288" w:lineRule="auto"/>
              <w:jc w:val="center"/>
              <w:rPr>
                <w:b/>
                <w:color w:val="0D0D0D"/>
              </w:rPr>
            </w:pPr>
            <w:r>
              <w:rPr>
                <w:rFonts w:hint="eastAsia"/>
                <w:b/>
                <w:color w:val="0D0D0D"/>
              </w:rPr>
              <w:t>8</w:t>
            </w:r>
          </w:p>
        </w:tc>
        <w:tc>
          <w:tcPr>
            <w:tcW w:w="4997" w:type="dxa"/>
            <w:vAlign w:val="center"/>
          </w:tcPr>
          <w:p>
            <w:pPr>
              <w:jc w:val="center"/>
              <w:rPr>
                <w:color w:val="0D0D0D"/>
                <w:szCs w:val="21"/>
              </w:rPr>
            </w:pPr>
            <w:r>
              <w:rPr>
                <w:rFonts w:hint="eastAsia"/>
                <w:color w:val="0D0D0D"/>
                <w:szCs w:val="21"/>
              </w:rPr>
              <w:t>医疗纠纷的预防与处理</w:t>
            </w:r>
          </w:p>
        </w:tc>
        <w:tc>
          <w:tcPr>
            <w:tcW w:w="2268" w:type="dxa"/>
            <w:vAlign w:val="center"/>
          </w:tcPr>
          <w:p>
            <w:pPr>
              <w:spacing w:line="288" w:lineRule="auto"/>
              <w:jc w:val="center"/>
              <w:rPr>
                <w:b/>
                <w:color w:val="0D0D0D"/>
              </w:rPr>
            </w:pPr>
            <w:r>
              <w:rPr>
                <w:rFonts w:hint="eastAsia"/>
                <w:b/>
                <w:color w:val="0D0D0D"/>
              </w:rPr>
              <w:t>2</w:t>
            </w:r>
          </w:p>
        </w:tc>
        <w:tc>
          <w:tcPr>
            <w:tcW w:w="2126" w:type="dxa"/>
            <w:vAlign w:val="center"/>
          </w:tcPr>
          <w:p>
            <w:pPr>
              <w:spacing w:line="288" w:lineRule="auto"/>
              <w:jc w:val="center"/>
              <w:rPr>
                <w:b/>
                <w:color w:val="0D0D0D"/>
              </w:rPr>
            </w:pPr>
            <w:r>
              <w:rPr>
                <w:rFonts w:hint="eastAsia"/>
                <w:b/>
                <w:color w:val="0D0D0D"/>
              </w:rPr>
              <w:t>0</w:t>
            </w:r>
          </w:p>
        </w:tc>
        <w:tc>
          <w:tcPr>
            <w:tcW w:w="2977" w:type="dxa"/>
            <w:vAlign w:val="center"/>
          </w:tcPr>
          <w:p>
            <w:pPr>
              <w:spacing w:line="288" w:lineRule="auto"/>
              <w:jc w:val="center"/>
              <w:rPr>
                <w:b/>
                <w:color w:val="0D0D0D"/>
              </w:rPr>
            </w:pPr>
            <w:r>
              <w:rPr>
                <w:rFonts w:hint="eastAsia"/>
                <w:b/>
                <w:color w:val="0D0D0D"/>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207" w:type="dxa"/>
            <w:vAlign w:val="center"/>
          </w:tcPr>
          <w:p>
            <w:pPr>
              <w:spacing w:line="288" w:lineRule="auto"/>
              <w:jc w:val="center"/>
              <w:rPr>
                <w:b/>
                <w:color w:val="0D0D0D"/>
              </w:rPr>
            </w:pPr>
            <w:r>
              <w:rPr>
                <w:rFonts w:hint="eastAsia"/>
                <w:b/>
                <w:color w:val="0D0D0D"/>
              </w:rPr>
              <w:t>9</w:t>
            </w:r>
          </w:p>
        </w:tc>
        <w:tc>
          <w:tcPr>
            <w:tcW w:w="4997" w:type="dxa"/>
            <w:vAlign w:val="center"/>
          </w:tcPr>
          <w:p>
            <w:pPr>
              <w:jc w:val="center"/>
              <w:rPr>
                <w:color w:val="0D0D0D"/>
                <w:szCs w:val="21"/>
              </w:rPr>
            </w:pPr>
            <w:r>
              <w:rPr>
                <w:rFonts w:hint="eastAsia"/>
                <w:color w:val="0D0D0D"/>
                <w:szCs w:val="21"/>
              </w:rPr>
              <w:t>医学发展中的法律新挑战</w:t>
            </w:r>
          </w:p>
        </w:tc>
        <w:tc>
          <w:tcPr>
            <w:tcW w:w="2268" w:type="dxa"/>
            <w:vAlign w:val="center"/>
          </w:tcPr>
          <w:p>
            <w:pPr>
              <w:spacing w:line="288" w:lineRule="auto"/>
              <w:jc w:val="center"/>
              <w:rPr>
                <w:b/>
                <w:color w:val="0D0D0D"/>
              </w:rPr>
            </w:pPr>
            <w:r>
              <w:rPr>
                <w:rFonts w:hint="eastAsia"/>
                <w:b/>
                <w:color w:val="0D0D0D"/>
              </w:rPr>
              <w:t>2</w:t>
            </w:r>
          </w:p>
        </w:tc>
        <w:tc>
          <w:tcPr>
            <w:tcW w:w="2126" w:type="dxa"/>
            <w:vAlign w:val="center"/>
          </w:tcPr>
          <w:p>
            <w:pPr>
              <w:spacing w:line="288" w:lineRule="auto"/>
              <w:jc w:val="center"/>
              <w:rPr>
                <w:b/>
                <w:color w:val="0D0D0D"/>
              </w:rPr>
            </w:pPr>
            <w:r>
              <w:rPr>
                <w:rFonts w:hint="eastAsia"/>
                <w:b/>
                <w:color w:val="0D0D0D"/>
              </w:rPr>
              <w:t>0</w:t>
            </w:r>
          </w:p>
        </w:tc>
        <w:tc>
          <w:tcPr>
            <w:tcW w:w="2977" w:type="dxa"/>
            <w:vAlign w:val="center"/>
          </w:tcPr>
          <w:p>
            <w:pPr>
              <w:spacing w:line="288" w:lineRule="auto"/>
              <w:jc w:val="center"/>
              <w:rPr>
                <w:b/>
                <w:color w:val="0D0D0D"/>
              </w:rPr>
            </w:pPr>
            <w:r>
              <w:rPr>
                <w:rFonts w:hint="eastAsia"/>
                <w:b/>
                <w:color w:val="0D0D0D"/>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207" w:type="dxa"/>
            <w:vAlign w:val="center"/>
          </w:tcPr>
          <w:p>
            <w:pPr>
              <w:spacing w:line="288" w:lineRule="auto"/>
              <w:jc w:val="center"/>
              <w:rPr>
                <w:b/>
                <w:color w:val="0D0D0D"/>
              </w:rPr>
            </w:pPr>
            <w:r>
              <w:rPr>
                <w:rFonts w:hint="eastAsia"/>
                <w:b/>
                <w:color w:val="0D0D0D"/>
              </w:rPr>
              <w:t>总学时</w:t>
            </w:r>
          </w:p>
        </w:tc>
        <w:tc>
          <w:tcPr>
            <w:tcW w:w="4997" w:type="dxa"/>
            <w:vAlign w:val="center"/>
          </w:tcPr>
          <w:p>
            <w:pPr>
              <w:jc w:val="center"/>
              <w:rPr>
                <w:color w:val="0D0D0D"/>
                <w:szCs w:val="21"/>
              </w:rPr>
            </w:pPr>
          </w:p>
        </w:tc>
        <w:tc>
          <w:tcPr>
            <w:tcW w:w="2268" w:type="dxa"/>
            <w:vAlign w:val="center"/>
          </w:tcPr>
          <w:p>
            <w:pPr>
              <w:spacing w:line="288" w:lineRule="auto"/>
              <w:jc w:val="center"/>
              <w:rPr>
                <w:b/>
                <w:color w:val="0D0D0D"/>
              </w:rPr>
            </w:pPr>
            <w:r>
              <w:rPr>
                <w:rFonts w:hint="eastAsia"/>
                <w:b/>
                <w:color w:val="0D0D0D"/>
              </w:rPr>
              <w:t>16</w:t>
            </w:r>
          </w:p>
        </w:tc>
        <w:tc>
          <w:tcPr>
            <w:tcW w:w="2126" w:type="dxa"/>
            <w:vAlign w:val="center"/>
          </w:tcPr>
          <w:p>
            <w:pPr>
              <w:spacing w:line="288" w:lineRule="auto"/>
              <w:jc w:val="center"/>
              <w:rPr>
                <w:b/>
                <w:color w:val="0D0D0D"/>
              </w:rPr>
            </w:pPr>
            <w:r>
              <w:rPr>
                <w:rFonts w:hint="eastAsia"/>
                <w:b/>
                <w:color w:val="0D0D0D"/>
              </w:rPr>
              <w:t>0</w:t>
            </w:r>
          </w:p>
        </w:tc>
        <w:tc>
          <w:tcPr>
            <w:tcW w:w="2977" w:type="dxa"/>
            <w:vAlign w:val="center"/>
          </w:tcPr>
          <w:p>
            <w:pPr>
              <w:spacing w:line="288" w:lineRule="auto"/>
              <w:jc w:val="center"/>
              <w:rPr>
                <w:b/>
                <w:color w:val="0D0D0D"/>
              </w:rPr>
            </w:pPr>
            <w:r>
              <w:rPr>
                <w:rFonts w:hint="eastAsia"/>
                <w:b/>
                <w:color w:val="0D0D0D"/>
              </w:rPr>
              <w:t>0</w:t>
            </w:r>
          </w:p>
        </w:tc>
      </w:tr>
    </w:tbl>
    <w:p>
      <w:pPr>
        <w:spacing w:line="288" w:lineRule="auto"/>
        <w:rPr>
          <w:color w:val="0D0D0D"/>
        </w:rPr>
      </w:pPr>
    </w:p>
    <w:sectPr>
      <w:headerReference r:id="rId11" w:type="first"/>
      <w:footerReference r:id="rId14" w:type="first"/>
      <w:headerReference r:id="rId9" w:type="default"/>
      <w:footerReference r:id="rId12" w:type="default"/>
      <w:headerReference r:id="rId10" w:type="even"/>
      <w:footerReference r:id="rId13" w:type="even"/>
      <w:pgSz w:w="16838" w:h="11906" w:orient="landscape"/>
      <w:pgMar w:top="1797" w:right="1440" w:bottom="1797" w:left="1440" w:header="851" w:footer="992" w:gutter="0"/>
      <w:cols w:space="720" w:num="1"/>
      <w:docGrid w:linePitch="333" w:charSpace="-43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新魏">
    <w:panose1 w:val="02010800040101010101"/>
    <w:charset w:val="86"/>
    <w:family w:val="auto"/>
    <w:pitch w:val="default"/>
    <w:sig w:usb0="00000001" w:usb1="080F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4"/>
      </w:rPr>
    </w:pPr>
    <w:r>
      <w:rPr>
        <w:rStyle w:val="14"/>
      </w:rPr>
      <w:fldChar w:fldCharType="begin"/>
    </w:r>
    <w:r>
      <w:rPr>
        <w:rStyle w:val="14"/>
      </w:rPr>
      <w:instrText xml:space="preserve">PAGE  </w:instrText>
    </w:r>
    <w:r>
      <w:rPr>
        <w:rStyle w:val="14"/>
      </w:rPr>
      <w:fldChar w:fldCharType="separate"/>
    </w:r>
    <w:r>
      <w:rPr>
        <w:rStyle w:val="14"/>
      </w:rPr>
      <w:t>1</w:t>
    </w:r>
    <w:r>
      <w:rPr>
        <w:rStyle w:val="14"/>
      </w:rP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4"/>
      </w:rPr>
    </w:pPr>
    <w:r>
      <w:rPr>
        <w:rStyle w:val="14"/>
      </w:rPr>
      <w:fldChar w:fldCharType="begin"/>
    </w:r>
    <w:r>
      <w:rPr>
        <w:rStyle w:val="14"/>
      </w:rPr>
      <w:instrText xml:space="preserve">PAGE  </w:instrText>
    </w:r>
    <w:r>
      <w:rPr>
        <w:rStyle w:val="14"/>
      </w:rP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4"/>
      </w:rPr>
    </w:pPr>
    <w:r>
      <w:rPr>
        <w:rStyle w:val="14"/>
      </w:rPr>
      <w:fldChar w:fldCharType="begin"/>
    </w:r>
    <w:r>
      <w:rPr>
        <w:rStyle w:val="14"/>
      </w:rPr>
      <w:instrText xml:space="preserve">PAGE  </w:instrText>
    </w:r>
    <w:r>
      <w:rPr>
        <w:rStyle w:val="14"/>
      </w:rPr>
      <w:fldChar w:fldCharType="separate"/>
    </w:r>
    <w:r>
      <w:rPr>
        <w:rStyle w:val="14"/>
      </w:rPr>
      <w:t>2</w:t>
    </w:r>
    <w:r>
      <w:rPr>
        <w:rStyle w:val="14"/>
      </w:rPr>
      <w:fldChar w:fldCharType="end"/>
    </w:r>
  </w:p>
  <w:p>
    <w:pPr>
      <w:pStyle w:val="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 PAGE   \* MERGEFORMAT </w:instrText>
    </w:r>
    <w:r>
      <w:fldChar w:fldCharType="separate"/>
    </w:r>
    <w:r>
      <w:rPr>
        <w:lang w:val="zh-CN"/>
      </w:rPr>
      <w:t>3</w:t>
    </w:r>
    <w:r>
      <w:fldChar w:fldCharType="end"/>
    </w:r>
  </w:p>
  <w:p>
    <w:pPr>
      <w:pStyle w:val="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750F0B"/>
    <w:multiLevelType w:val="singleLevel"/>
    <w:tmpl w:val="52750F0B"/>
    <w:lvl w:ilvl="0" w:tentative="0">
      <w:start w:val="3"/>
      <w:numFmt w:val="decimal"/>
      <w:suff w:val="space"/>
      <w:lvlText w:val="%1."/>
      <w:lvlJc w:val="left"/>
      <w:pPr>
        <w:ind w:left="42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I3NDg1OTU2NGY5OGViN2I1ZTFhNTdhNzUxYWZmMDQifQ=="/>
  </w:docVars>
  <w:rsids>
    <w:rsidRoot w:val="00087859"/>
    <w:rsid w:val="0000173D"/>
    <w:rsid w:val="00002491"/>
    <w:rsid w:val="00014877"/>
    <w:rsid w:val="00014B5B"/>
    <w:rsid w:val="000158CE"/>
    <w:rsid w:val="00026662"/>
    <w:rsid w:val="00037CF9"/>
    <w:rsid w:val="000433BE"/>
    <w:rsid w:val="0004344D"/>
    <w:rsid w:val="000476D1"/>
    <w:rsid w:val="00061450"/>
    <w:rsid w:val="000646B7"/>
    <w:rsid w:val="000657C0"/>
    <w:rsid w:val="0006592E"/>
    <w:rsid w:val="00083751"/>
    <w:rsid w:val="000877E6"/>
    <w:rsid w:val="00087859"/>
    <w:rsid w:val="00090EC0"/>
    <w:rsid w:val="00095A99"/>
    <w:rsid w:val="000A4819"/>
    <w:rsid w:val="000B45D8"/>
    <w:rsid w:val="000B670B"/>
    <w:rsid w:val="000B6B52"/>
    <w:rsid w:val="000C0CF8"/>
    <w:rsid w:val="000C3614"/>
    <w:rsid w:val="000D7693"/>
    <w:rsid w:val="000E19D8"/>
    <w:rsid w:val="000E53BF"/>
    <w:rsid w:val="000F297C"/>
    <w:rsid w:val="00117BE9"/>
    <w:rsid w:val="00126938"/>
    <w:rsid w:val="00131450"/>
    <w:rsid w:val="0015134F"/>
    <w:rsid w:val="00153D6F"/>
    <w:rsid w:val="00156AF2"/>
    <w:rsid w:val="00156B47"/>
    <w:rsid w:val="00157D89"/>
    <w:rsid w:val="00164C92"/>
    <w:rsid w:val="00165DC1"/>
    <w:rsid w:val="0016721E"/>
    <w:rsid w:val="001678F1"/>
    <w:rsid w:val="00167D41"/>
    <w:rsid w:val="00174A84"/>
    <w:rsid w:val="00174B8E"/>
    <w:rsid w:val="00186B62"/>
    <w:rsid w:val="0019269B"/>
    <w:rsid w:val="00193ECB"/>
    <w:rsid w:val="001955A8"/>
    <w:rsid w:val="001A7FAE"/>
    <w:rsid w:val="001B1ED6"/>
    <w:rsid w:val="001D2EA7"/>
    <w:rsid w:val="001D5871"/>
    <w:rsid w:val="001E632E"/>
    <w:rsid w:val="00213AAE"/>
    <w:rsid w:val="00217755"/>
    <w:rsid w:val="00217C72"/>
    <w:rsid w:val="00225E30"/>
    <w:rsid w:val="00237AD9"/>
    <w:rsid w:val="00242451"/>
    <w:rsid w:val="00242C7E"/>
    <w:rsid w:val="002442D2"/>
    <w:rsid w:val="002516E9"/>
    <w:rsid w:val="00254FBC"/>
    <w:rsid w:val="00260860"/>
    <w:rsid w:val="002642F0"/>
    <w:rsid w:val="00265893"/>
    <w:rsid w:val="00265EA5"/>
    <w:rsid w:val="00267903"/>
    <w:rsid w:val="0028506C"/>
    <w:rsid w:val="00291EE6"/>
    <w:rsid w:val="0029259C"/>
    <w:rsid w:val="00294933"/>
    <w:rsid w:val="002A3DA0"/>
    <w:rsid w:val="002A6743"/>
    <w:rsid w:val="002C4AA6"/>
    <w:rsid w:val="002D6C0A"/>
    <w:rsid w:val="002D7BCC"/>
    <w:rsid w:val="002E42BA"/>
    <w:rsid w:val="002F0F76"/>
    <w:rsid w:val="0031312D"/>
    <w:rsid w:val="00322EFF"/>
    <w:rsid w:val="00325281"/>
    <w:rsid w:val="003317E0"/>
    <w:rsid w:val="00332375"/>
    <w:rsid w:val="00332F98"/>
    <w:rsid w:val="003431FF"/>
    <w:rsid w:val="0034479E"/>
    <w:rsid w:val="00344920"/>
    <w:rsid w:val="00355E6C"/>
    <w:rsid w:val="00363442"/>
    <w:rsid w:val="0036513C"/>
    <w:rsid w:val="00374875"/>
    <w:rsid w:val="00375288"/>
    <w:rsid w:val="003870E9"/>
    <w:rsid w:val="0039331B"/>
    <w:rsid w:val="003A07B5"/>
    <w:rsid w:val="003A0AF6"/>
    <w:rsid w:val="003A4128"/>
    <w:rsid w:val="003A45D3"/>
    <w:rsid w:val="003B7967"/>
    <w:rsid w:val="003C43E3"/>
    <w:rsid w:val="003E1020"/>
    <w:rsid w:val="003E18D0"/>
    <w:rsid w:val="003E33F7"/>
    <w:rsid w:val="003E3849"/>
    <w:rsid w:val="003E64C5"/>
    <w:rsid w:val="003E77AE"/>
    <w:rsid w:val="003F6E2A"/>
    <w:rsid w:val="00402FDE"/>
    <w:rsid w:val="00410D4B"/>
    <w:rsid w:val="00425233"/>
    <w:rsid w:val="00435392"/>
    <w:rsid w:val="00436E23"/>
    <w:rsid w:val="00440ECB"/>
    <w:rsid w:val="004476F7"/>
    <w:rsid w:val="00451034"/>
    <w:rsid w:val="0046329B"/>
    <w:rsid w:val="00473B54"/>
    <w:rsid w:val="004747EF"/>
    <w:rsid w:val="00485FBB"/>
    <w:rsid w:val="004914F6"/>
    <w:rsid w:val="00491FC1"/>
    <w:rsid w:val="00492C23"/>
    <w:rsid w:val="004A4117"/>
    <w:rsid w:val="004A46EC"/>
    <w:rsid w:val="004B2794"/>
    <w:rsid w:val="004B3079"/>
    <w:rsid w:val="004B58E4"/>
    <w:rsid w:val="004C5F64"/>
    <w:rsid w:val="004C6746"/>
    <w:rsid w:val="004E1B24"/>
    <w:rsid w:val="004E1EA4"/>
    <w:rsid w:val="004F5490"/>
    <w:rsid w:val="004F5BD1"/>
    <w:rsid w:val="004F6D8E"/>
    <w:rsid w:val="004F7459"/>
    <w:rsid w:val="004F75D3"/>
    <w:rsid w:val="00504E57"/>
    <w:rsid w:val="005075DB"/>
    <w:rsid w:val="00520DB7"/>
    <w:rsid w:val="005261C5"/>
    <w:rsid w:val="0053030E"/>
    <w:rsid w:val="005438AF"/>
    <w:rsid w:val="00546045"/>
    <w:rsid w:val="00546B6B"/>
    <w:rsid w:val="005518AB"/>
    <w:rsid w:val="00563146"/>
    <w:rsid w:val="005678AA"/>
    <w:rsid w:val="00576E2E"/>
    <w:rsid w:val="0058437F"/>
    <w:rsid w:val="00584D33"/>
    <w:rsid w:val="005850C3"/>
    <w:rsid w:val="0058632D"/>
    <w:rsid w:val="0059603A"/>
    <w:rsid w:val="005A0DF2"/>
    <w:rsid w:val="005A71EE"/>
    <w:rsid w:val="005A75BE"/>
    <w:rsid w:val="005A79F8"/>
    <w:rsid w:val="005C2396"/>
    <w:rsid w:val="005C3F48"/>
    <w:rsid w:val="005C7A3D"/>
    <w:rsid w:val="005D05AE"/>
    <w:rsid w:val="005D34C1"/>
    <w:rsid w:val="005E0383"/>
    <w:rsid w:val="005F0EAA"/>
    <w:rsid w:val="005F13DA"/>
    <w:rsid w:val="005F156C"/>
    <w:rsid w:val="005F4F91"/>
    <w:rsid w:val="006003F7"/>
    <w:rsid w:val="006060DE"/>
    <w:rsid w:val="00610FC9"/>
    <w:rsid w:val="00611159"/>
    <w:rsid w:val="00611759"/>
    <w:rsid w:val="00612ABF"/>
    <w:rsid w:val="006131A1"/>
    <w:rsid w:val="0061482B"/>
    <w:rsid w:val="00623AB3"/>
    <w:rsid w:val="0062572C"/>
    <w:rsid w:val="0063196F"/>
    <w:rsid w:val="00640461"/>
    <w:rsid w:val="00645C82"/>
    <w:rsid w:val="006520FF"/>
    <w:rsid w:val="00652EB0"/>
    <w:rsid w:val="006557AB"/>
    <w:rsid w:val="006576CC"/>
    <w:rsid w:val="00663208"/>
    <w:rsid w:val="0066580B"/>
    <w:rsid w:val="006670AA"/>
    <w:rsid w:val="00670CCF"/>
    <w:rsid w:val="00672BA9"/>
    <w:rsid w:val="006840E2"/>
    <w:rsid w:val="006876B5"/>
    <w:rsid w:val="00693C92"/>
    <w:rsid w:val="0069526C"/>
    <w:rsid w:val="006A4BD9"/>
    <w:rsid w:val="006A589E"/>
    <w:rsid w:val="006B103F"/>
    <w:rsid w:val="006B47BA"/>
    <w:rsid w:val="006B5CC0"/>
    <w:rsid w:val="006C5755"/>
    <w:rsid w:val="006C668F"/>
    <w:rsid w:val="006D18B0"/>
    <w:rsid w:val="006D6122"/>
    <w:rsid w:val="006E2B6B"/>
    <w:rsid w:val="006F2496"/>
    <w:rsid w:val="006F34A6"/>
    <w:rsid w:val="006F37CC"/>
    <w:rsid w:val="00726009"/>
    <w:rsid w:val="00731E06"/>
    <w:rsid w:val="007474D7"/>
    <w:rsid w:val="00747CBB"/>
    <w:rsid w:val="00756342"/>
    <w:rsid w:val="007676B5"/>
    <w:rsid w:val="00767E8C"/>
    <w:rsid w:val="007755CB"/>
    <w:rsid w:val="007762CA"/>
    <w:rsid w:val="00780D4D"/>
    <w:rsid w:val="00784151"/>
    <w:rsid w:val="00784F8C"/>
    <w:rsid w:val="007906A2"/>
    <w:rsid w:val="007908F7"/>
    <w:rsid w:val="00794933"/>
    <w:rsid w:val="007A4FA3"/>
    <w:rsid w:val="007B2294"/>
    <w:rsid w:val="007C07FC"/>
    <w:rsid w:val="007C7D5D"/>
    <w:rsid w:val="007D371C"/>
    <w:rsid w:val="007D7071"/>
    <w:rsid w:val="007E0062"/>
    <w:rsid w:val="007E62CB"/>
    <w:rsid w:val="007E70F1"/>
    <w:rsid w:val="007F0B78"/>
    <w:rsid w:val="007F28DF"/>
    <w:rsid w:val="007F7283"/>
    <w:rsid w:val="00801825"/>
    <w:rsid w:val="00803DC2"/>
    <w:rsid w:val="00806A6A"/>
    <w:rsid w:val="00826DEA"/>
    <w:rsid w:val="00840D05"/>
    <w:rsid w:val="008413B9"/>
    <w:rsid w:val="00843C85"/>
    <w:rsid w:val="00855967"/>
    <w:rsid w:val="00856629"/>
    <w:rsid w:val="008567AA"/>
    <w:rsid w:val="00862D2D"/>
    <w:rsid w:val="00863FEA"/>
    <w:rsid w:val="00867785"/>
    <w:rsid w:val="0087318B"/>
    <w:rsid w:val="00885695"/>
    <w:rsid w:val="00895FDF"/>
    <w:rsid w:val="008A05BF"/>
    <w:rsid w:val="008B1E83"/>
    <w:rsid w:val="008B27F6"/>
    <w:rsid w:val="008B6A2A"/>
    <w:rsid w:val="008C4279"/>
    <w:rsid w:val="008F724F"/>
    <w:rsid w:val="008F7E39"/>
    <w:rsid w:val="00900ADB"/>
    <w:rsid w:val="0090297B"/>
    <w:rsid w:val="00905C1E"/>
    <w:rsid w:val="00906FCB"/>
    <w:rsid w:val="00912FA7"/>
    <w:rsid w:val="00915960"/>
    <w:rsid w:val="00923680"/>
    <w:rsid w:val="009251E9"/>
    <w:rsid w:val="00931C9E"/>
    <w:rsid w:val="00933367"/>
    <w:rsid w:val="00933452"/>
    <w:rsid w:val="00936C8E"/>
    <w:rsid w:val="00937DB7"/>
    <w:rsid w:val="00940325"/>
    <w:rsid w:val="0094436E"/>
    <w:rsid w:val="00965637"/>
    <w:rsid w:val="009764D4"/>
    <w:rsid w:val="009867EF"/>
    <w:rsid w:val="009871DF"/>
    <w:rsid w:val="00991D16"/>
    <w:rsid w:val="009A45CE"/>
    <w:rsid w:val="009A7772"/>
    <w:rsid w:val="009B14F1"/>
    <w:rsid w:val="009B1D38"/>
    <w:rsid w:val="009B58C2"/>
    <w:rsid w:val="009C0F11"/>
    <w:rsid w:val="009C5C0B"/>
    <w:rsid w:val="009D0E8D"/>
    <w:rsid w:val="009D18EC"/>
    <w:rsid w:val="009F3F44"/>
    <w:rsid w:val="009F40A9"/>
    <w:rsid w:val="00A0102E"/>
    <w:rsid w:val="00A01E5C"/>
    <w:rsid w:val="00A04AFF"/>
    <w:rsid w:val="00A14D59"/>
    <w:rsid w:val="00A16917"/>
    <w:rsid w:val="00A3127A"/>
    <w:rsid w:val="00A36C85"/>
    <w:rsid w:val="00A4705D"/>
    <w:rsid w:val="00A55FC1"/>
    <w:rsid w:val="00A57748"/>
    <w:rsid w:val="00A60D78"/>
    <w:rsid w:val="00A62480"/>
    <w:rsid w:val="00A65E70"/>
    <w:rsid w:val="00A76D4A"/>
    <w:rsid w:val="00A808CF"/>
    <w:rsid w:val="00A850DE"/>
    <w:rsid w:val="00AA3E7C"/>
    <w:rsid w:val="00AA4420"/>
    <w:rsid w:val="00AB15A7"/>
    <w:rsid w:val="00AB4A83"/>
    <w:rsid w:val="00AB7726"/>
    <w:rsid w:val="00AC6565"/>
    <w:rsid w:val="00AC729C"/>
    <w:rsid w:val="00AD031D"/>
    <w:rsid w:val="00AD1124"/>
    <w:rsid w:val="00AD24BA"/>
    <w:rsid w:val="00AD381D"/>
    <w:rsid w:val="00AD51C3"/>
    <w:rsid w:val="00AD6F57"/>
    <w:rsid w:val="00AE1ECA"/>
    <w:rsid w:val="00AF6827"/>
    <w:rsid w:val="00B079D9"/>
    <w:rsid w:val="00B101BA"/>
    <w:rsid w:val="00B11D4A"/>
    <w:rsid w:val="00B6294A"/>
    <w:rsid w:val="00B717A5"/>
    <w:rsid w:val="00B777ED"/>
    <w:rsid w:val="00B81DA8"/>
    <w:rsid w:val="00B84B6C"/>
    <w:rsid w:val="00B90719"/>
    <w:rsid w:val="00B963D3"/>
    <w:rsid w:val="00B9762C"/>
    <w:rsid w:val="00B97A9F"/>
    <w:rsid w:val="00BA777D"/>
    <w:rsid w:val="00BB75DF"/>
    <w:rsid w:val="00BC08AD"/>
    <w:rsid w:val="00BC160F"/>
    <w:rsid w:val="00BF0EC4"/>
    <w:rsid w:val="00BF1017"/>
    <w:rsid w:val="00BF38E3"/>
    <w:rsid w:val="00BF45A0"/>
    <w:rsid w:val="00C0082B"/>
    <w:rsid w:val="00C0268B"/>
    <w:rsid w:val="00C151B0"/>
    <w:rsid w:val="00C221A1"/>
    <w:rsid w:val="00C2480C"/>
    <w:rsid w:val="00C374C0"/>
    <w:rsid w:val="00C413BF"/>
    <w:rsid w:val="00C62FB8"/>
    <w:rsid w:val="00C74C38"/>
    <w:rsid w:val="00C7525B"/>
    <w:rsid w:val="00C86EA6"/>
    <w:rsid w:val="00C97C68"/>
    <w:rsid w:val="00CA2651"/>
    <w:rsid w:val="00CB3168"/>
    <w:rsid w:val="00CB40C0"/>
    <w:rsid w:val="00CE383B"/>
    <w:rsid w:val="00CF0F43"/>
    <w:rsid w:val="00CF6544"/>
    <w:rsid w:val="00CF6FCB"/>
    <w:rsid w:val="00D04855"/>
    <w:rsid w:val="00D06854"/>
    <w:rsid w:val="00D214B6"/>
    <w:rsid w:val="00D21925"/>
    <w:rsid w:val="00D222B1"/>
    <w:rsid w:val="00D32E55"/>
    <w:rsid w:val="00D33B38"/>
    <w:rsid w:val="00D33FCE"/>
    <w:rsid w:val="00D40841"/>
    <w:rsid w:val="00D52D35"/>
    <w:rsid w:val="00D555E2"/>
    <w:rsid w:val="00D5635B"/>
    <w:rsid w:val="00D56F6E"/>
    <w:rsid w:val="00D62830"/>
    <w:rsid w:val="00D62903"/>
    <w:rsid w:val="00D744A9"/>
    <w:rsid w:val="00D76FCA"/>
    <w:rsid w:val="00D8234F"/>
    <w:rsid w:val="00D8642E"/>
    <w:rsid w:val="00D87AC0"/>
    <w:rsid w:val="00D87BFF"/>
    <w:rsid w:val="00D9536E"/>
    <w:rsid w:val="00D95A4F"/>
    <w:rsid w:val="00DA1005"/>
    <w:rsid w:val="00DA26CC"/>
    <w:rsid w:val="00DA2A87"/>
    <w:rsid w:val="00DB388F"/>
    <w:rsid w:val="00DC23C1"/>
    <w:rsid w:val="00DC27F2"/>
    <w:rsid w:val="00DD6789"/>
    <w:rsid w:val="00DE1A7A"/>
    <w:rsid w:val="00DE4BFF"/>
    <w:rsid w:val="00E00CF7"/>
    <w:rsid w:val="00E05F65"/>
    <w:rsid w:val="00E06107"/>
    <w:rsid w:val="00E10DF6"/>
    <w:rsid w:val="00E216A6"/>
    <w:rsid w:val="00E27D68"/>
    <w:rsid w:val="00E35D93"/>
    <w:rsid w:val="00E42132"/>
    <w:rsid w:val="00E464B0"/>
    <w:rsid w:val="00E50A29"/>
    <w:rsid w:val="00E52FB6"/>
    <w:rsid w:val="00E64704"/>
    <w:rsid w:val="00E64EF6"/>
    <w:rsid w:val="00E77544"/>
    <w:rsid w:val="00E83259"/>
    <w:rsid w:val="00E83F62"/>
    <w:rsid w:val="00EA3AF5"/>
    <w:rsid w:val="00EA7A18"/>
    <w:rsid w:val="00EB43FC"/>
    <w:rsid w:val="00EB53A3"/>
    <w:rsid w:val="00EC3D06"/>
    <w:rsid w:val="00EC507F"/>
    <w:rsid w:val="00EE0E95"/>
    <w:rsid w:val="00EE237F"/>
    <w:rsid w:val="00EE26D2"/>
    <w:rsid w:val="00EE5A25"/>
    <w:rsid w:val="00EF1360"/>
    <w:rsid w:val="00F06B44"/>
    <w:rsid w:val="00F074CB"/>
    <w:rsid w:val="00F10622"/>
    <w:rsid w:val="00F11CCC"/>
    <w:rsid w:val="00F23393"/>
    <w:rsid w:val="00F37F25"/>
    <w:rsid w:val="00F412C9"/>
    <w:rsid w:val="00F55099"/>
    <w:rsid w:val="00F56760"/>
    <w:rsid w:val="00F61738"/>
    <w:rsid w:val="00F7223E"/>
    <w:rsid w:val="00F74587"/>
    <w:rsid w:val="00F74B18"/>
    <w:rsid w:val="00F80DCE"/>
    <w:rsid w:val="00F82403"/>
    <w:rsid w:val="00F91EEE"/>
    <w:rsid w:val="00FA1B0D"/>
    <w:rsid w:val="00FA5348"/>
    <w:rsid w:val="00FB5434"/>
    <w:rsid w:val="00FC7D92"/>
    <w:rsid w:val="00FE35CF"/>
    <w:rsid w:val="00FE47CB"/>
    <w:rsid w:val="00FE72D2"/>
    <w:rsid w:val="00FE7B94"/>
    <w:rsid w:val="00FE7F3C"/>
    <w:rsid w:val="00FF3363"/>
    <w:rsid w:val="06C54CB0"/>
    <w:rsid w:val="092B1742"/>
    <w:rsid w:val="0A9B1EDC"/>
    <w:rsid w:val="0D3872F1"/>
    <w:rsid w:val="0E457746"/>
    <w:rsid w:val="17D9680D"/>
    <w:rsid w:val="1AA50C28"/>
    <w:rsid w:val="1FE20E7C"/>
    <w:rsid w:val="22A038CD"/>
    <w:rsid w:val="23D46F40"/>
    <w:rsid w:val="24E15959"/>
    <w:rsid w:val="284101E2"/>
    <w:rsid w:val="28E75B67"/>
    <w:rsid w:val="2C4D7652"/>
    <w:rsid w:val="2E792E5F"/>
    <w:rsid w:val="2EA72D69"/>
    <w:rsid w:val="30E2111B"/>
    <w:rsid w:val="376A3E53"/>
    <w:rsid w:val="3AA513AB"/>
    <w:rsid w:val="3ADE5D64"/>
    <w:rsid w:val="3B200FA6"/>
    <w:rsid w:val="3E000DB6"/>
    <w:rsid w:val="455F52FB"/>
    <w:rsid w:val="460A3353"/>
    <w:rsid w:val="488C101C"/>
    <w:rsid w:val="4B7316D7"/>
    <w:rsid w:val="4EDF401C"/>
    <w:rsid w:val="50115D98"/>
    <w:rsid w:val="522E68F7"/>
    <w:rsid w:val="532B6A73"/>
    <w:rsid w:val="535D68A2"/>
    <w:rsid w:val="55AE7164"/>
    <w:rsid w:val="58111D6F"/>
    <w:rsid w:val="5AB81CD6"/>
    <w:rsid w:val="5B5F048F"/>
    <w:rsid w:val="61303617"/>
    <w:rsid w:val="622639C9"/>
    <w:rsid w:val="65B0696A"/>
    <w:rsid w:val="6ECD2B0B"/>
    <w:rsid w:val="6FCF4715"/>
    <w:rsid w:val="708D69DB"/>
    <w:rsid w:val="71430770"/>
    <w:rsid w:val="76A3728C"/>
    <w:rsid w:val="7C512B06"/>
    <w:rsid w:val="7DDC79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autoRedefine/>
    <w:qFormat/>
    <w:uiPriority w:val="0"/>
    <w:pPr>
      <w:jc w:val="left"/>
    </w:pPr>
  </w:style>
  <w:style w:type="paragraph" w:styleId="3">
    <w:name w:val="Body Text Indent"/>
    <w:basedOn w:val="1"/>
    <w:autoRedefine/>
    <w:qFormat/>
    <w:uiPriority w:val="0"/>
    <w:pPr>
      <w:ind w:firstLine="456" w:firstLineChars="200"/>
    </w:pPr>
    <w:rPr>
      <w:rFonts w:ascii="宋体" w:hAnsi="宋体"/>
    </w:rPr>
  </w:style>
  <w:style w:type="paragraph" w:styleId="4">
    <w:name w:val="Plain Text"/>
    <w:basedOn w:val="1"/>
    <w:link w:val="17"/>
    <w:autoRedefine/>
    <w:qFormat/>
    <w:uiPriority w:val="0"/>
    <w:rPr>
      <w:rFonts w:ascii="宋体" w:hAnsi="Courier New"/>
      <w:szCs w:val="20"/>
    </w:rPr>
  </w:style>
  <w:style w:type="paragraph" w:styleId="5">
    <w:name w:val="Date"/>
    <w:basedOn w:val="1"/>
    <w:next w:val="1"/>
    <w:autoRedefine/>
    <w:qFormat/>
    <w:uiPriority w:val="0"/>
    <w:pPr>
      <w:ind w:left="100" w:leftChars="2500"/>
    </w:pPr>
  </w:style>
  <w:style w:type="paragraph" w:styleId="6">
    <w:name w:val="Balloon Text"/>
    <w:basedOn w:val="1"/>
    <w:link w:val="18"/>
    <w:autoRedefine/>
    <w:qFormat/>
    <w:uiPriority w:val="0"/>
    <w:rPr>
      <w:sz w:val="18"/>
      <w:szCs w:val="18"/>
    </w:rPr>
  </w:style>
  <w:style w:type="paragraph" w:styleId="7">
    <w:name w:val="footer"/>
    <w:basedOn w:val="1"/>
    <w:link w:val="19"/>
    <w:autoRedefine/>
    <w:qFormat/>
    <w:uiPriority w:val="99"/>
    <w:pPr>
      <w:tabs>
        <w:tab w:val="center" w:pos="4153"/>
        <w:tab w:val="right" w:pos="8306"/>
      </w:tabs>
      <w:snapToGrid w:val="0"/>
      <w:jc w:val="left"/>
    </w:pPr>
    <w:rPr>
      <w:sz w:val="18"/>
      <w:szCs w:val="18"/>
    </w:rPr>
  </w:style>
  <w:style w:type="paragraph" w:styleId="8">
    <w:name w:val="header"/>
    <w:basedOn w:val="1"/>
    <w:link w:val="20"/>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autoRedefine/>
    <w:qFormat/>
    <w:uiPriority w:val="0"/>
    <w:pPr>
      <w:widowControl/>
      <w:jc w:val="left"/>
    </w:pPr>
    <w:rPr>
      <w:rFonts w:ascii="宋体" w:hAnsi="宋体" w:cs="宋体"/>
      <w:kern w:val="0"/>
      <w:sz w:val="24"/>
    </w:rPr>
  </w:style>
  <w:style w:type="paragraph" w:styleId="10">
    <w:name w:val="annotation subject"/>
    <w:basedOn w:val="2"/>
    <w:next w:val="2"/>
    <w:link w:val="21"/>
    <w:autoRedefine/>
    <w:qFormat/>
    <w:uiPriority w:val="0"/>
    <w:rPr>
      <w:b/>
      <w:bCs/>
    </w:rPr>
  </w:style>
  <w:style w:type="table" w:styleId="12">
    <w:name w:val="Table Grid"/>
    <w:basedOn w:val="11"/>
    <w:autoRedefine/>
    <w:qFormat/>
    <w:uiPriority w:val="39"/>
    <w:rPr>
      <w:rFonts w:ascii="等线" w:hAnsi="等线" w:eastAsia="等线" w:cs="Arial"/>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page number"/>
    <w:basedOn w:val="13"/>
    <w:autoRedefine/>
    <w:qFormat/>
    <w:uiPriority w:val="0"/>
  </w:style>
  <w:style w:type="character" w:styleId="15">
    <w:name w:val="annotation reference"/>
    <w:autoRedefine/>
    <w:qFormat/>
    <w:uiPriority w:val="0"/>
    <w:rPr>
      <w:sz w:val="21"/>
      <w:szCs w:val="21"/>
    </w:rPr>
  </w:style>
  <w:style w:type="character" w:customStyle="1" w:styleId="16">
    <w:name w:val="批注文字 Char"/>
    <w:link w:val="2"/>
    <w:autoRedefine/>
    <w:qFormat/>
    <w:uiPriority w:val="0"/>
    <w:rPr>
      <w:kern w:val="2"/>
      <w:sz w:val="21"/>
      <w:szCs w:val="24"/>
    </w:rPr>
  </w:style>
  <w:style w:type="character" w:customStyle="1" w:styleId="17">
    <w:name w:val="纯文本 Char"/>
    <w:link w:val="4"/>
    <w:autoRedefine/>
    <w:qFormat/>
    <w:uiPriority w:val="0"/>
    <w:rPr>
      <w:rFonts w:ascii="宋体" w:hAnsi="Courier New" w:eastAsia="宋体"/>
      <w:kern w:val="2"/>
      <w:sz w:val="21"/>
      <w:lang w:val="en-US" w:eastAsia="zh-CN" w:bidi="ar-SA"/>
    </w:rPr>
  </w:style>
  <w:style w:type="character" w:customStyle="1" w:styleId="18">
    <w:name w:val="批注框文本 Char"/>
    <w:link w:val="6"/>
    <w:autoRedefine/>
    <w:qFormat/>
    <w:uiPriority w:val="0"/>
    <w:rPr>
      <w:kern w:val="2"/>
      <w:sz w:val="18"/>
      <w:szCs w:val="18"/>
    </w:rPr>
  </w:style>
  <w:style w:type="character" w:customStyle="1" w:styleId="19">
    <w:name w:val="页脚 Char"/>
    <w:link w:val="7"/>
    <w:autoRedefine/>
    <w:qFormat/>
    <w:uiPriority w:val="99"/>
    <w:rPr>
      <w:kern w:val="2"/>
      <w:sz w:val="18"/>
      <w:szCs w:val="18"/>
    </w:rPr>
  </w:style>
  <w:style w:type="character" w:customStyle="1" w:styleId="20">
    <w:name w:val="页眉 Char"/>
    <w:link w:val="8"/>
    <w:autoRedefine/>
    <w:qFormat/>
    <w:uiPriority w:val="0"/>
    <w:rPr>
      <w:rFonts w:eastAsia="宋体"/>
      <w:kern w:val="2"/>
      <w:sz w:val="18"/>
      <w:szCs w:val="18"/>
      <w:lang w:val="en-US" w:eastAsia="zh-CN" w:bidi="ar-SA"/>
    </w:rPr>
  </w:style>
  <w:style w:type="character" w:customStyle="1" w:styleId="21">
    <w:name w:val="批注主题 Char"/>
    <w:link w:val="10"/>
    <w:autoRedefine/>
    <w:qFormat/>
    <w:uiPriority w:val="0"/>
    <w:rPr>
      <w:b/>
      <w:bCs/>
      <w:kern w:val="2"/>
      <w:sz w:val="21"/>
      <w:szCs w:val="24"/>
    </w:rPr>
  </w:style>
  <w:style w:type="paragraph" w:customStyle="1" w:styleId="22">
    <w:name w:val="ordinary-output target-output"/>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23">
    <w:name w:val="high-light-bg4"/>
    <w:basedOn w:val="13"/>
    <w:autoRedefine/>
    <w:qFormat/>
    <w:uiPriority w:val="0"/>
  </w:style>
  <w:style w:type="paragraph" w:styleId="24">
    <w:name w:val="List Paragraph"/>
    <w:basedOn w:val="1"/>
    <w:autoRedefine/>
    <w:qFormat/>
    <w:uiPriority w:val="34"/>
    <w:pPr>
      <w:ind w:firstLine="420" w:firstLineChars="200"/>
    </w:pPr>
    <w:rPr>
      <w:rFonts w:ascii="等线" w:hAnsi="等线" w:eastAsia="等线" w:cs="Arial"/>
      <w:szCs w:val="22"/>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天津医科大学</Company>
  <Pages>4</Pages>
  <Words>271</Words>
  <Characters>1546</Characters>
  <Lines>12</Lines>
  <Paragraphs>3</Paragraphs>
  <TotalTime>1</TotalTime>
  <ScaleCrop>false</ScaleCrop>
  <LinksUpToDate>false</LinksUpToDate>
  <CharactersWithSpaces>1814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2019-05-05T03:54:00Z</dcterms:created>
  <dc:creator>王秋生</dc:creator>
  <cp:lastModifiedBy>栖园</cp:lastModifiedBy>
  <cp:lastPrinted>2024-03-20T12:22:00Z</cp:lastPrinted>
  <dcterms:modified xsi:type="dcterms:W3CDTF">2024-04-11T09:25:23Z</dcterms:modified>
  <dc:title>关于修订教学大纲、见、实习大纲文字格式要求</dc:title>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113AA6A70FC84E42AEB5E86CBADCD37A</vt:lpwstr>
  </property>
</Properties>
</file>